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B041A">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5</w:t>
      </w:r>
      <w:bookmarkStart w:id="0" w:name="_GoBack"/>
      <w:bookmarkEnd w:id="0"/>
    </w:p>
    <w:p w14:paraId="720E8380">
      <w:pPr>
        <w:rPr>
          <w:rFonts w:hint="eastAsia" w:ascii="方正黑体_GBK" w:hAnsi="方正黑体_GBK" w:eastAsia="方正黑体_GBK" w:cs="方正黑体_GBK"/>
          <w:lang w:val="en-US" w:eastAsia="zh-CN"/>
        </w:rPr>
      </w:pPr>
    </w:p>
    <w:p w14:paraId="675A81A1">
      <w:pPr>
        <w:widowControl/>
        <w:adjustRightInd w:val="0"/>
        <w:snapToGrid w:val="0"/>
        <w:spacing w:beforeLines="15" w:afterLines="15"/>
        <w:jc w:val="center"/>
        <w:rPr>
          <w:rFonts w:ascii="Times New Roman" w:hAnsi="Times New Roman" w:eastAsia="方正黑体_GBK"/>
          <w:bCs/>
          <w:sz w:val="36"/>
          <w:szCs w:val="36"/>
        </w:rPr>
      </w:pPr>
      <w:r>
        <w:rPr>
          <w:rFonts w:ascii="Times New Roman" w:hAnsi="Times New Roman" w:eastAsia="方正黑体_GBK"/>
          <w:bCs/>
          <w:sz w:val="36"/>
          <w:szCs w:val="36"/>
        </w:rPr>
        <w:t>绿色工厂基本要求</w:t>
      </w:r>
      <w:r>
        <w:rPr>
          <w:rFonts w:hint="eastAsia" w:ascii="Times New Roman" w:hAnsi="Times New Roman" w:eastAsia="方正黑体_GBK"/>
          <w:bCs/>
          <w:sz w:val="36"/>
          <w:szCs w:val="36"/>
          <w:lang w:val="en-US" w:eastAsia="zh-CN"/>
        </w:rPr>
        <w:t>评价</w:t>
      </w:r>
      <w:r>
        <w:rPr>
          <w:rFonts w:ascii="Times New Roman" w:hAnsi="Times New Roman" w:eastAsia="方正黑体_GBK"/>
          <w:bCs/>
          <w:sz w:val="36"/>
          <w:szCs w:val="36"/>
        </w:rPr>
        <w:t>表</w:t>
      </w:r>
    </w:p>
    <w:tbl>
      <w:tblPr>
        <w:tblStyle w:val="4"/>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7151"/>
        <w:gridCol w:w="1417"/>
        <w:gridCol w:w="3794"/>
      </w:tblGrid>
      <w:tr w14:paraId="7C98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blHeader/>
        </w:trPr>
        <w:tc>
          <w:tcPr>
            <w:tcW w:w="8897" w:type="dxa"/>
            <w:gridSpan w:val="2"/>
            <w:tcMar>
              <w:top w:w="0" w:type="dxa"/>
              <w:left w:w="57" w:type="dxa"/>
              <w:bottom w:w="0" w:type="dxa"/>
              <w:right w:w="57" w:type="dxa"/>
            </w:tcMar>
            <w:vAlign w:val="center"/>
          </w:tcPr>
          <w:p w14:paraId="17DE453A">
            <w:pPr>
              <w:adjustRightInd w:val="0"/>
              <w:snapToGrid w:val="0"/>
              <w:spacing w:beforeLines="25"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基本要求</w:t>
            </w:r>
          </w:p>
        </w:tc>
        <w:tc>
          <w:tcPr>
            <w:tcW w:w="1417" w:type="dxa"/>
            <w:tcMar>
              <w:top w:w="0" w:type="dxa"/>
              <w:left w:w="57" w:type="dxa"/>
              <w:bottom w:w="0" w:type="dxa"/>
              <w:right w:w="57" w:type="dxa"/>
            </w:tcMar>
            <w:vAlign w:val="center"/>
          </w:tcPr>
          <w:p w14:paraId="3165DB42">
            <w:pPr>
              <w:adjustRightInd w:val="0"/>
              <w:snapToGrid w:val="0"/>
              <w:spacing w:beforeLines="25"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是否符合</w:t>
            </w:r>
          </w:p>
        </w:tc>
        <w:tc>
          <w:tcPr>
            <w:tcW w:w="3794" w:type="dxa"/>
            <w:tcMar>
              <w:top w:w="0" w:type="dxa"/>
              <w:left w:w="57" w:type="dxa"/>
              <w:bottom w:w="0" w:type="dxa"/>
              <w:right w:w="57" w:type="dxa"/>
            </w:tcMar>
            <w:vAlign w:val="center"/>
          </w:tcPr>
          <w:p w14:paraId="496B96F7">
            <w:pPr>
              <w:adjustRightInd w:val="0"/>
              <w:snapToGrid w:val="0"/>
              <w:spacing w:beforeLines="25" w:afterLines="25"/>
              <w:jc w:val="center"/>
              <w:rPr>
                <w:rFonts w:ascii="方正黑体_GBK" w:hAnsi="Times New Roman" w:eastAsia="方正黑体_GBK"/>
                <w:bCs/>
                <w:sz w:val="24"/>
                <w:szCs w:val="24"/>
              </w:rPr>
            </w:pPr>
            <w:r>
              <w:rPr>
                <w:rFonts w:hint="eastAsia" w:ascii="方正黑体_GBK" w:hAnsi="Times New Roman" w:eastAsia="方正黑体_GBK"/>
                <w:bCs/>
                <w:sz w:val="24"/>
                <w:szCs w:val="24"/>
              </w:rPr>
              <w:t>证明材料索引</w:t>
            </w:r>
          </w:p>
        </w:tc>
      </w:tr>
      <w:tr w14:paraId="4033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14:paraId="7473F4D5">
            <w:pPr>
              <w:adjustRightInd w:val="0"/>
              <w:snapToGrid w:val="0"/>
              <w:spacing w:beforeLines="25" w:afterLines="25"/>
              <w:jc w:val="center"/>
              <w:rPr>
                <w:rFonts w:ascii="Times New Roman" w:hAnsi="Times New Roman" w:eastAsia="仿宋"/>
                <w:sz w:val="24"/>
                <w:szCs w:val="24"/>
              </w:rPr>
            </w:pPr>
            <w:r>
              <w:rPr>
                <w:rFonts w:ascii="Times New Roman" w:hAnsi="Times New Roman" w:eastAsia="方正仿宋_GBK"/>
                <w:sz w:val="24"/>
                <w:szCs w:val="24"/>
              </w:rPr>
              <w:t>基础合规性与相关方要求</w:t>
            </w:r>
          </w:p>
        </w:tc>
        <w:tc>
          <w:tcPr>
            <w:tcW w:w="7151" w:type="dxa"/>
            <w:tcMar>
              <w:top w:w="0" w:type="dxa"/>
              <w:left w:w="57" w:type="dxa"/>
              <w:bottom w:w="0" w:type="dxa"/>
              <w:right w:w="57" w:type="dxa"/>
            </w:tcMar>
            <w:vAlign w:val="center"/>
          </w:tcPr>
          <w:p w14:paraId="125EFBAB">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绿色工厂应依法设立，在建设和生产过程中应遵守有关法律、法规、政策和标准。</w:t>
            </w:r>
          </w:p>
        </w:tc>
        <w:tc>
          <w:tcPr>
            <w:tcW w:w="1417" w:type="dxa"/>
            <w:tcMar>
              <w:top w:w="0" w:type="dxa"/>
              <w:left w:w="57" w:type="dxa"/>
              <w:bottom w:w="0" w:type="dxa"/>
              <w:right w:w="57" w:type="dxa"/>
            </w:tcMar>
            <w:vAlign w:val="center"/>
          </w:tcPr>
          <w:p w14:paraId="69F7DB7B">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35889699">
            <w:pPr>
              <w:adjustRightInd w:val="0"/>
              <w:snapToGrid w:val="0"/>
              <w:spacing w:beforeLines="25" w:afterLines="25"/>
              <w:jc w:val="center"/>
              <w:rPr>
                <w:rFonts w:ascii="Times New Roman" w:hAnsi="Times New Roman" w:eastAsia="方正仿宋_GBK"/>
                <w:sz w:val="24"/>
                <w:szCs w:val="24"/>
              </w:rPr>
            </w:pPr>
          </w:p>
        </w:tc>
      </w:tr>
      <w:tr w14:paraId="61AA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05D239D6">
            <w:pPr>
              <w:adjustRightInd w:val="0"/>
              <w:snapToGrid w:val="0"/>
              <w:spacing w:beforeLines="25"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14:paraId="0BD7C825">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近三年（含成立不足三年）无较大及以上安全、环保、质量等事故。</w:t>
            </w:r>
          </w:p>
        </w:tc>
        <w:tc>
          <w:tcPr>
            <w:tcW w:w="1417" w:type="dxa"/>
            <w:tcMar>
              <w:top w:w="0" w:type="dxa"/>
              <w:left w:w="57" w:type="dxa"/>
              <w:bottom w:w="0" w:type="dxa"/>
              <w:right w:w="57" w:type="dxa"/>
            </w:tcMar>
            <w:vAlign w:val="center"/>
          </w:tcPr>
          <w:p w14:paraId="309E9A03">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67918E7C">
            <w:pPr>
              <w:adjustRightInd w:val="0"/>
              <w:snapToGrid w:val="0"/>
              <w:spacing w:beforeLines="25" w:afterLines="25"/>
              <w:jc w:val="center"/>
              <w:rPr>
                <w:rFonts w:ascii="Times New Roman" w:hAnsi="Times New Roman" w:eastAsia="方正仿宋_GBK"/>
                <w:sz w:val="24"/>
                <w:szCs w:val="24"/>
              </w:rPr>
            </w:pPr>
          </w:p>
        </w:tc>
      </w:tr>
      <w:tr w14:paraId="4DCC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3402E74C">
            <w:pPr>
              <w:adjustRightInd w:val="0"/>
              <w:snapToGrid w:val="0"/>
              <w:spacing w:beforeLines="25"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14:paraId="614E8733">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对利益相关方的环境要求做出承诺的，应同时满足有关承诺的要求。</w:t>
            </w:r>
          </w:p>
        </w:tc>
        <w:tc>
          <w:tcPr>
            <w:tcW w:w="1417" w:type="dxa"/>
            <w:tcMar>
              <w:top w:w="0" w:type="dxa"/>
              <w:left w:w="57" w:type="dxa"/>
              <w:bottom w:w="0" w:type="dxa"/>
              <w:right w:w="57" w:type="dxa"/>
            </w:tcMar>
            <w:vAlign w:val="center"/>
          </w:tcPr>
          <w:p w14:paraId="516D6E51">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1536C9EF">
            <w:pPr>
              <w:adjustRightInd w:val="0"/>
              <w:snapToGrid w:val="0"/>
              <w:spacing w:beforeLines="25" w:afterLines="25"/>
              <w:jc w:val="center"/>
              <w:rPr>
                <w:rFonts w:ascii="Times New Roman" w:hAnsi="Times New Roman" w:eastAsia="方正仿宋_GBK"/>
                <w:sz w:val="24"/>
                <w:szCs w:val="24"/>
              </w:rPr>
            </w:pPr>
          </w:p>
        </w:tc>
      </w:tr>
      <w:tr w14:paraId="2859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14:paraId="2E9361C8">
            <w:pPr>
              <w:adjustRightInd w:val="0"/>
              <w:snapToGrid w:val="0"/>
              <w:spacing w:beforeLines="25" w:afterLines="25"/>
              <w:jc w:val="center"/>
              <w:rPr>
                <w:rFonts w:ascii="Times New Roman" w:hAnsi="Times New Roman" w:eastAsia="仿宋"/>
                <w:sz w:val="24"/>
                <w:szCs w:val="24"/>
              </w:rPr>
            </w:pPr>
            <w:r>
              <w:rPr>
                <w:rFonts w:ascii="Times New Roman" w:hAnsi="Times New Roman" w:eastAsia="方正仿宋_GBK"/>
                <w:sz w:val="24"/>
                <w:szCs w:val="24"/>
              </w:rPr>
              <w:t>基础管理职责——最高管理者</w:t>
            </w:r>
          </w:p>
        </w:tc>
        <w:tc>
          <w:tcPr>
            <w:tcW w:w="7151" w:type="dxa"/>
            <w:tcMar>
              <w:top w:w="0" w:type="dxa"/>
              <w:left w:w="57" w:type="dxa"/>
              <w:bottom w:w="0" w:type="dxa"/>
              <w:right w:w="57" w:type="dxa"/>
            </w:tcMar>
            <w:vAlign w:val="center"/>
          </w:tcPr>
          <w:p w14:paraId="5C9DF591">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最高管理者在绿色工厂方面的领导作用和承诺满足GB/T 36132中4.3.1 a)的要求。</w:t>
            </w:r>
          </w:p>
        </w:tc>
        <w:tc>
          <w:tcPr>
            <w:tcW w:w="1417" w:type="dxa"/>
            <w:tcMar>
              <w:top w:w="0" w:type="dxa"/>
              <w:left w:w="57" w:type="dxa"/>
              <w:bottom w:w="0" w:type="dxa"/>
              <w:right w:w="57" w:type="dxa"/>
            </w:tcMar>
            <w:vAlign w:val="center"/>
          </w:tcPr>
          <w:p w14:paraId="2B922339">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42D41F8B">
            <w:pPr>
              <w:adjustRightInd w:val="0"/>
              <w:snapToGrid w:val="0"/>
              <w:spacing w:beforeLines="25" w:afterLines="25"/>
              <w:jc w:val="center"/>
              <w:rPr>
                <w:rFonts w:ascii="Times New Roman" w:hAnsi="Times New Roman" w:eastAsia="方正仿宋_GBK"/>
                <w:sz w:val="24"/>
                <w:szCs w:val="24"/>
              </w:rPr>
            </w:pPr>
          </w:p>
        </w:tc>
      </w:tr>
      <w:tr w14:paraId="5183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68549F5C">
            <w:pPr>
              <w:adjustRightInd w:val="0"/>
              <w:snapToGrid w:val="0"/>
              <w:spacing w:beforeLines="25" w:afterLines="25"/>
              <w:jc w:val="center"/>
              <w:rPr>
                <w:rFonts w:ascii="Times New Roman" w:hAnsi="Times New Roman" w:eastAsia="仿宋"/>
                <w:sz w:val="24"/>
                <w:szCs w:val="24"/>
              </w:rPr>
            </w:pPr>
          </w:p>
        </w:tc>
        <w:tc>
          <w:tcPr>
            <w:tcW w:w="7151" w:type="dxa"/>
            <w:tcMar>
              <w:top w:w="0" w:type="dxa"/>
              <w:left w:w="57" w:type="dxa"/>
              <w:bottom w:w="0" w:type="dxa"/>
              <w:right w:w="57" w:type="dxa"/>
            </w:tcMar>
            <w:vAlign w:val="center"/>
          </w:tcPr>
          <w:p w14:paraId="1198DE1D">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最高管理者确保在工厂内部分配并沟通与绿色工厂相关角色的职责和权限，且满足GB/T 36132中4.3.1 b)的要求。</w:t>
            </w:r>
          </w:p>
        </w:tc>
        <w:tc>
          <w:tcPr>
            <w:tcW w:w="1417" w:type="dxa"/>
            <w:tcMar>
              <w:top w:w="0" w:type="dxa"/>
              <w:left w:w="57" w:type="dxa"/>
              <w:bottom w:w="0" w:type="dxa"/>
              <w:right w:w="57" w:type="dxa"/>
            </w:tcMar>
            <w:vAlign w:val="center"/>
          </w:tcPr>
          <w:p w14:paraId="733C3867">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65C29F3B">
            <w:pPr>
              <w:adjustRightInd w:val="0"/>
              <w:snapToGrid w:val="0"/>
              <w:spacing w:beforeLines="25" w:afterLines="25"/>
              <w:jc w:val="center"/>
              <w:rPr>
                <w:rFonts w:ascii="Times New Roman" w:hAnsi="Times New Roman" w:eastAsia="方正仿宋_GBK"/>
                <w:sz w:val="24"/>
                <w:szCs w:val="24"/>
              </w:rPr>
            </w:pPr>
          </w:p>
        </w:tc>
      </w:tr>
      <w:tr w14:paraId="064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restart"/>
            <w:tcMar>
              <w:top w:w="0" w:type="dxa"/>
              <w:left w:w="57" w:type="dxa"/>
              <w:bottom w:w="0" w:type="dxa"/>
              <w:right w:w="57" w:type="dxa"/>
            </w:tcMar>
            <w:vAlign w:val="center"/>
          </w:tcPr>
          <w:p w14:paraId="40A19774">
            <w:pPr>
              <w:adjustRightInd w:val="0"/>
              <w:snapToGrid w:val="0"/>
              <w:spacing w:beforeLines="25" w:afterLines="25"/>
              <w:jc w:val="center"/>
              <w:rPr>
                <w:rFonts w:ascii="Times New Roman" w:hAnsi="Times New Roman" w:eastAsia="仿宋"/>
                <w:sz w:val="24"/>
                <w:szCs w:val="24"/>
              </w:rPr>
            </w:pPr>
            <w:r>
              <w:rPr>
                <w:rFonts w:ascii="Times New Roman" w:hAnsi="Times New Roman" w:eastAsia="方正仿宋_GBK"/>
                <w:sz w:val="24"/>
                <w:szCs w:val="24"/>
              </w:rPr>
              <w:t>基础管理职责——工厂</w:t>
            </w:r>
          </w:p>
        </w:tc>
        <w:tc>
          <w:tcPr>
            <w:tcW w:w="7151" w:type="dxa"/>
            <w:tcMar>
              <w:top w:w="0" w:type="dxa"/>
              <w:left w:w="57" w:type="dxa"/>
              <w:bottom w:w="0" w:type="dxa"/>
              <w:right w:w="57" w:type="dxa"/>
            </w:tcMar>
            <w:vAlign w:val="center"/>
          </w:tcPr>
          <w:p w14:paraId="54C269D6">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应设有绿色工厂管理机构，负责有关绿色工厂的制度建设、实施、考核及奖励工作，建立目标责任制。</w:t>
            </w:r>
          </w:p>
        </w:tc>
        <w:tc>
          <w:tcPr>
            <w:tcW w:w="1417" w:type="dxa"/>
            <w:tcMar>
              <w:top w:w="0" w:type="dxa"/>
              <w:left w:w="57" w:type="dxa"/>
              <w:bottom w:w="0" w:type="dxa"/>
              <w:right w:w="57" w:type="dxa"/>
            </w:tcMar>
            <w:vAlign w:val="center"/>
          </w:tcPr>
          <w:p w14:paraId="7C39BF2C">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4C67393C">
            <w:pPr>
              <w:adjustRightInd w:val="0"/>
              <w:snapToGrid w:val="0"/>
              <w:spacing w:beforeLines="25" w:afterLines="25"/>
              <w:jc w:val="center"/>
              <w:rPr>
                <w:rFonts w:ascii="Times New Roman" w:hAnsi="Times New Roman" w:eastAsia="方正仿宋_GBK"/>
                <w:sz w:val="24"/>
                <w:szCs w:val="24"/>
              </w:rPr>
            </w:pPr>
          </w:p>
        </w:tc>
      </w:tr>
      <w:tr w14:paraId="5D8B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6EA88128">
            <w:pPr>
              <w:adjustRightInd w:val="0"/>
              <w:snapToGrid w:val="0"/>
              <w:spacing w:beforeLines="25" w:afterLines="25"/>
              <w:rPr>
                <w:rFonts w:ascii="Times New Roman" w:hAnsi="Times New Roman" w:eastAsia="仿宋"/>
                <w:sz w:val="24"/>
                <w:szCs w:val="24"/>
              </w:rPr>
            </w:pPr>
          </w:p>
        </w:tc>
        <w:tc>
          <w:tcPr>
            <w:tcW w:w="7151" w:type="dxa"/>
            <w:tcMar>
              <w:top w:w="0" w:type="dxa"/>
              <w:left w:w="57" w:type="dxa"/>
              <w:bottom w:w="0" w:type="dxa"/>
              <w:right w:w="57" w:type="dxa"/>
            </w:tcMar>
            <w:vAlign w:val="center"/>
          </w:tcPr>
          <w:p w14:paraId="455A908E">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应有开展绿色工厂的中长期规划及年度目标、指标和实施方案。可行时，指标应明确且可量化。</w:t>
            </w:r>
          </w:p>
        </w:tc>
        <w:tc>
          <w:tcPr>
            <w:tcW w:w="1417" w:type="dxa"/>
            <w:tcMar>
              <w:top w:w="0" w:type="dxa"/>
              <w:left w:w="57" w:type="dxa"/>
              <w:bottom w:w="0" w:type="dxa"/>
              <w:right w:w="57" w:type="dxa"/>
            </w:tcMar>
            <w:vAlign w:val="center"/>
          </w:tcPr>
          <w:p w14:paraId="313CB7B1">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74CB348E">
            <w:pPr>
              <w:adjustRightInd w:val="0"/>
              <w:snapToGrid w:val="0"/>
              <w:spacing w:beforeLines="25" w:afterLines="25"/>
              <w:jc w:val="center"/>
              <w:rPr>
                <w:rFonts w:ascii="Times New Roman" w:hAnsi="Times New Roman" w:eastAsia="方正仿宋_GBK"/>
                <w:sz w:val="24"/>
                <w:szCs w:val="24"/>
              </w:rPr>
            </w:pPr>
          </w:p>
        </w:tc>
      </w:tr>
      <w:tr w14:paraId="35D2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46" w:type="dxa"/>
            <w:vMerge w:val="continue"/>
            <w:tcMar>
              <w:top w:w="0" w:type="dxa"/>
              <w:left w:w="57" w:type="dxa"/>
              <w:bottom w:w="0" w:type="dxa"/>
              <w:right w:w="57" w:type="dxa"/>
            </w:tcMar>
            <w:vAlign w:val="center"/>
          </w:tcPr>
          <w:p w14:paraId="62812D25">
            <w:pPr>
              <w:adjustRightInd w:val="0"/>
              <w:snapToGrid w:val="0"/>
              <w:spacing w:beforeLines="25" w:afterLines="25"/>
              <w:rPr>
                <w:rFonts w:ascii="Times New Roman" w:hAnsi="Times New Roman" w:eastAsia="仿宋"/>
                <w:sz w:val="24"/>
                <w:szCs w:val="24"/>
              </w:rPr>
            </w:pPr>
          </w:p>
        </w:tc>
        <w:tc>
          <w:tcPr>
            <w:tcW w:w="7151" w:type="dxa"/>
            <w:tcMar>
              <w:top w:w="0" w:type="dxa"/>
              <w:left w:w="57" w:type="dxa"/>
              <w:bottom w:w="0" w:type="dxa"/>
              <w:right w:w="57" w:type="dxa"/>
            </w:tcMar>
            <w:vAlign w:val="center"/>
          </w:tcPr>
          <w:p w14:paraId="0638E01B">
            <w:pPr>
              <w:adjustRightInd w:val="0"/>
              <w:snapToGrid w:val="0"/>
              <w:spacing w:beforeLines="25" w:afterLines="25"/>
              <w:rPr>
                <w:rFonts w:ascii="Times New Roman" w:hAnsi="Times New Roman" w:eastAsia="仿宋"/>
                <w:sz w:val="24"/>
                <w:szCs w:val="24"/>
              </w:rPr>
            </w:pPr>
            <w:r>
              <w:rPr>
                <w:rFonts w:ascii="Times New Roman" w:hAnsi="Times New Roman" w:eastAsia="方正仿宋_GBK"/>
                <w:sz w:val="24"/>
                <w:szCs w:val="24"/>
              </w:rPr>
              <w:t>应传播绿色制造的概念和知识，定期为员工提供绿色制造相关知识的教育、培训，并对教育和培训的结果进行考评。</w:t>
            </w:r>
          </w:p>
        </w:tc>
        <w:tc>
          <w:tcPr>
            <w:tcW w:w="1417" w:type="dxa"/>
            <w:tcMar>
              <w:top w:w="0" w:type="dxa"/>
              <w:left w:w="57" w:type="dxa"/>
              <w:bottom w:w="0" w:type="dxa"/>
              <w:right w:w="57" w:type="dxa"/>
            </w:tcMar>
            <w:vAlign w:val="center"/>
          </w:tcPr>
          <w:p w14:paraId="3FCA1710">
            <w:pPr>
              <w:adjustRightInd w:val="0"/>
              <w:snapToGrid w:val="0"/>
              <w:spacing w:beforeLines="25" w:afterLines="25"/>
              <w:jc w:val="center"/>
              <w:rPr>
                <w:rFonts w:ascii="Times New Roman" w:hAnsi="Times New Roman" w:eastAsia="仿宋"/>
                <w:sz w:val="24"/>
                <w:szCs w:val="24"/>
              </w:rPr>
            </w:pPr>
          </w:p>
        </w:tc>
        <w:tc>
          <w:tcPr>
            <w:tcW w:w="3794" w:type="dxa"/>
            <w:tcMar>
              <w:top w:w="0" w:type="dxa"/>
              <w:left w:w="57" w:type="dxa"/>
              <w:bottom w:w="0" w:type="dxa"/>
              <w:right w:w="57" w:type="dxa"/>
            </w:tcMar>
            <w:vAlign w:val="center"/>
          </w:tcPr>
          <w:p w14:paraId="57FF0C51">
            <w:pPr>
              <w:adjustRightInd w:val="0"/>
              <w:snapToGrid w:val="0"/>
              <w:spacing w:beforeLines="25" w:afterLines="25"/>
              <w:jc w:val="center"/>
              <w:rPr>
                <w:rFonts w:ascii="Times New Roman" w:hAnsi="Times New Roman" w:eastAsia="方正仿宋_GBK"/>
                <w:sz w:val="24"/>
                <w:szCs w:val="24"/>
              </w:rPr>
            </w:pPr>
          </w:p>
        </w:tc>
      </w:tr>
    </w:tbl>
    <w:p w14:paraId="36FA7286">
      <w:pPr>
        <w:rPr>
          <w:rFonts w:ascii="Times New Roman" w:hAnsi="Times New Roman" w:eastAsia="方正仿宋_GBK"/>
          <w:sz w:val="30"/>
          <w:szCs w:val="30"/>
        </w:rPr>
        <w:sectPr>
          <w:pgSz w:w="16838" w:h="11906" w:orient="landscape"/>
          <w:pgMar w:top="1531" w:right="1814" w:bottom="1531" w:left="1364" w:header="851" w:footer="992" w:gutter="0"/>
          <w:cols w:space="425" w:num="1"/>
          <w:docGrid w:type="lines" w:linePitch="312" w:charSpace="0"/>
        </w:sectPr>
      </w:pPr>
      <w:r>
        <w:rPr>
          <w:rFonts w:ascii="Times New Roman" w:hAnsi="Times New Roman" w:eastAsia="方正仿宋_GBK"/>
          <w:sz w:val="30"/>
          <w:szCs w:val="30"/>
        </w:rPr>
        <w:br w:type="page"/>
      </w:r>
    </w:p>
    <w:p w14:paraId="72823611">
      <w:pPr>
        <w:widowControl/>
        <w:jc w:val="center"/>
        <w:rPr>
          <w:rFonts w:ascii="Times New Roman" w:hAnsi="Times New Roman" w:eastAsia="方正仿宋_GBK"/>
          <w:sz w:val="32"/>
          <w:szCs w:val="32"/>
        </w:rPr>
      </w:pPr>
      <w:r>
        <w:rPr>
          <w:rFonts w:hint="eastAsia" w:ascii="Times New Roman" w:hAnsi="Times New Roman" w:eastAsia="方正黑体_GBK"/>
          <w:bCs/>
          <w:sz w:val="36"/>
          <w:szCs w:val="36"/>
        </w:rPr>
        <w:t>绿色工业</w:t>
      </w:r>
      <w:r>
        <w:rPr>
          <w:rFonts w:ascii="Times New Roman" w:hAnsi="Times New Roman" w:eastAsia="方正黑体_GBK"/>
          <w:bCs/>
          <w:sz w:val="36"/>
          <w:szCs w:val="36"/>
        </w:rPr>
        <w:t>园区基本要求</w:t>
      </w:r>
      <w:r>
        <w:rPr>
          <w:rFonts w:hint="eastAsia" w:ascii="Times New Roman" w:hAnsi="Times New Roman" w:eastAsia="方正黑体_GBK"/>
          <w:bCs/>
          <w:sz w:val="36"/>
          <w:szCs w:val="36"/>
          <w:lang w:val="en-US" w:eastAsia="zh-CN"/>
        </w:rPr>
        <w:t>评价</w:t>
      </w:r>
      <w:r>
        <w:rPr>
          <w:rFonts w:ascii="Times New Roman" w:hAnsi="Times New Roman" w:eastAsia="方正黑体_GBK"/>
          <w:bCs/>
          <w:sz w:val="36"/>
          <w:szCs w:val="36"/>
        </w:rPr>
        <w:t>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6"/>
        <w:gridCol w:w="1448"/>
        <w:gridCol w:w="2156"/>
      </w:tblGrid>
      <w:tr w14:paraId="1A5A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2B1D7A15">
            <w:pPr>
              <w:adjustRightInd w:val="0"/>
              <w:snapToGrid w:val="0"/>
              <w:spacing w:beforeLines="30"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基本要求</w:t>
            </w:r>
          </w:p>
        </w:tc>
        <w:tc>
          <w:tcPr>
            <w:tcW w:w="799" w:type="pct"/>
          </w:tcPr>
          <w:p w14:paraId="71F61350">
            <w:pPr>
              <w:adjustRightInd w:val="0"/>
              <w:snapToGrid w:val="0"/>
              <w:spacing w:beforeLines="30"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是否符合</w:t>
            </w:r>
          </w:p>
        </w:tc>
        <w:tc>
          <w:tcPr>
            <w:tcW w:w="1190" w:type="pct"/>
          </w:tcPr>
          <w:p w14:paraId="3FE85522">
            <w:pPr>
              <w:adjustRightInd w:val="0"/>
              <w:snapToGrid w:val="0"/>
              <w:spacing w:beforeLines="30" w:afterLines="30"/>
              <w:jc w:val="center"/>
              <w:rPr>
                <w:rFonts w:ascii="方正黑体_GBK" w:hAnsi="Times New Roman" w:eastAsia="方正黑体_GBK"/>
                <w:kern w:val="0"/>
                <w:sz w:val="28"/>
                <w:szCs w:val="28"/>
              </w:rPr>
            </w:pPr>
            <w:r>
              <w:rPr>
                <w:rFonts w:hint="eastAsia" w:ascii="方正黑体_GBK" w:hAnsi="Times New Roman" w:eastAsia="方正黑体_GBK"/>
                <w:kern w:val="0"/>
                <w:sz w:val="28"/>
                <w:szCs w:val="28"/>
              </w:rPr>
              <w:t>证明材料索引</w:t>
            </w:r>
          </w:p>
        </w:tc>
      </w:tr>
      <w:tr w14:paraId="36A4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3229FC1F">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国家和地方绿色、循环和低碳相关法律法规、政策和标准应得到有效的贯彻执行。</w:t>
            </w:r>
            <w:r>
              <w:rPr>
                <w:rFonts w:hint="eastAsia" w:ascii="Times New Roman" w:hAnsi="Times New Roman" w:eastAsia="方正仿宋_GBK"/>
                <w:kern w:val="0"/>
                <w:sz w:val="24"/>
                <w:szCs w:val="24"/>
              </w:rPr>
              <w:t>涉及化工园区的应通过省级人民政府或其授权机构认定。</w:t>
            </w:r>
          </w:p>
        </w:tc>
        <w:tc>
          <w:tcPr>
            <w:tcW w:w="799" w:type="pct"/>
            <w:vAlign w:val="center"/>
          </w:tcPr>
          <w:p w14:paraId="1529FE29">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28D144F1">
            <w:pPr>
              <w:adjustRightInd w:val="0"/>
              <w:snapToGrid w:val="0"/>
              <w:spacing w:beforeLines="30" w:afterLines="30"/>
              <w:jc w:val="center"/>
              <w:rPr>
                <w:rFonts w:ascii="Times New Roman" w:hAnsi="Times New Roman" w:eastAsia="方正仿宋_GBK"/>
                <w:kern w:val="0"/>
                <w:sz w:val="28"/>
                <w:szCs w:val="28"/>
              </w:rPr>
            </w:pPr>
          </w:p>
        </w:tc>
      </w:tr>
      <w:tr w14:paraId="4E2F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104CA151">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近三年，未发生重大污染事故或重大生态破坏事件，完成国家或地方政府下达的节能减排指标，碳排放强度持续下降。</w:t>
            </w:r>
          </w:p>
        </w:tc>
        <w:tc>
          <w:tcPr>
            <w:tcW w:w="799" w:type="pct"/>
            <w:vAlign w:val="center"/>
          </w:tcPr>
          <w:p w14:paraId="0488F838">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212223C4">
            <w:pPr>
              <w:adjustRightInd w:val="0"/>
              <w:snapToGrid w:val="0"/>
              <w:spacing w:beforeLines="30" w:afterLines="30"/>
              <w:jc w:val="center"/>
              <w:rPr>
                <w:rFonts w:ascii="Times New Roman" w:hAnsi="Times New Roman" w:eastAsia="方正仿宋_GBK"/>
                <w:kern w:val="0"/>
                <w:sz w:val="28"/>
                <w:szCs w:val="28"/>
              </w:rPr>
            </w:pPr>
          </w:p>
        </w:tc>
      </w:tr>
      <w:tr w14:paraId="558F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37BC6650">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环境质量达到国家或地方规定的环境功能区环境质量标准，园区内企业污染物达标排放，各类重点污染物排放总量均不超过国家或地方的总量控制要求。</w:t>
            </w:r>
          </w:p>
        </w:tc>
        <w:tc>
          <w:tcPr>
            <w:tcW w:w="799" w:type="pct"/>
            <w:vAlign w:val="center"/>
          </w:tcPr>
          <w:p w14:paraId="74DBA680">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6190D638">
            <w:pPr>
              <w:adjustRightInd w:val="0"/>
              <w:snapToGrid w:val="0"/>
              <w:spacing w:beforeLines="30" w:afterLines="30"/>
              <w:jc w:val="center"/>
              <w:rPr>
                <w:rFonts w:ascii="Times New Roman" w:hAnsi="Times New Roman" w:eastAsia="方正仿宋_GBK"/>
                <w:kern w:val="0"/>
                <w:sz w:val="28"/>
                <w:szCs w:val="28"/>
              </w:rPr>
            </w:pPr>
          </w:p>
        </w:tc>
      </w:tr>
      <w:tr w14:paraId="31EF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vAlign w:val="center"/>
          </w:tcPr>
          <w:p w14:paraId="79EB3F41">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园区重点企业100%实施清洁生产审核。</w:t>
            </w:r>
          </w:p>
        </w:tc>
        <w:tc>
          <w:tcPr>
            <w:tcW w:w="799" w:type="pct"/>
            <w:vAlign w:val="center"/>
          </w:tcPr>
          <w:p w14:paraId="0DE08969">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37412600">
            <w:pPr>
              <w:adjustRightInd w:val="0"/>
              <w:snapToGrid w:val="0"/>
              <w:spacing w:beforeLines="30" w:afterLines="30"/>
              <w:jc w:val="center"/>
              <w:rPr>
                <w:rFonts w:ascii="Times New Roman" w:hAnsi="Times New Roman" w:eastAsia="方正仿宋_GBK"/>
                <w:kern w:val="0"/>
                <w:sz w:val="28"/>
                <w:szCs w:val="28"/>
              </w:rPr>
            </w:pPr>
          </w:p>
        </w:tc>
      </w:tr>
      <w:tr w14:paraId="754D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35299B0B">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园区企业不应使用国家列入淘汰目录的落后生产技术、工艺和设备，不应生产国家列入淘汰目录的产品。</w:t>
            </w:r>
          </w:p>
        </w:tc>
        <w:tc>
          <w:tcPr>
            <w:tcW w:w="799" w:type="pct"/>
            <w:vAlign w:val="center"/>
          </w:tcPr>
          <w:p w14:paraId="6B3EAAA8">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57B2C9E1">
            <w:pPr>
              <w:adjustRightInd w:val="0"/>
              <w:snapToGrid w:val="0"/>
              <w:spacing w:beforeLines="30" w:afterLines="30"/>
              <w:jc w:val="center"/>
              <w:rPr>
                <w:rFonts w:ascii="Times New Roman" w:hAnsi="Times New Roman" w:eastAsia="方正仿宋_GBK"/>
                <w:kern w:val="0"/>
                <w:sz w:val="28"/>
                <w:szCs w:val="28"/>
              </w:rPr>
            </w:pPr>
          </w:p>
        </w:tc>
      </w:tr>
      <w:tr w14:paraId="17B4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133FEC89">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园区建立履行绿色发展工作职责的专门机构、配备2名以上专职工作人员。</w:t>
            </w:r>
          </w:p>
        </w:tc>
        <w:tc>
          <w:tcPr>
            <w:tcW w:w="799" w:type="pct"/>
            <w:vAlign w:val="center"/>
          </w:tcPr>
          <w:p w14:paraId="454C007B">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30DF040F">
            <w:pPr>
              <w:adjustRightInd w:val="0"/>
              <w:snapToGrid w:val="0"/>
              <w:spacing w:beforeLines="30" w:afterLines="30"/>
              <w:jc w:val="center"/>
              <w:rPr>
                <w:rFonts w:ascii="Times New Roman" w:hAnsi="Times New Roman" w:eastAsia="方正仿宋_GBK"/>
                <w:kern w:val="0"/>
                <w:sz w:val="28"/>
                <w:szCs w:val="28"/>
              </w:rPr>
            </w:pPr>
          </w:p>
        </w:tc>
      </w:tr>
      <w:tr w14:paraId="5C03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43E70686">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鼓励园区建立并运行环境管理体系和能源管理体系，建立园区能源监测管理平台。</w:t>
            </w:r>
          </w:p>
        </w:tc>
        <w:tc>
          <w:tcPr>
            <w:tcW w:w="799" w:type="pct"/>
            <w:vAlign w:val="center"/>
          </w:tcPr>
          <w:p w14:paraId="14686B95">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485D9A00">
            <w:pPr>
              <w:adjustRightInd w:val="0"/>
              <w:snapToGrid w:val="0"/>
              <w:spacing w:beforeLines="30" w:afterLines="30"/>
              <w:jc w:val="center"/>
              <w:rPr>
                <w:rFonts w:ascii="Times New Roman" w:hAnsi="Times New Roman" w:eastAsia="方正仿宋_GBK"/>
                <w:kern w:val="0"/>
                <w:sz w:val="28"/>
                <w:szCs w:val="28"/>
              </w:rPr>
            </w:pPr>
          </w:p>
        </w:tc>
      </w:tr>
      <w:tr w14:paraId="1AC2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1" w:type="pct"/>
          </w:tcPr>
          <w:p w14:paraId="7557108A">
            <w:pPr>
              <w:adjustRightInd w:val="0"/>
              <w:snapToGrid w:val="0"/>
              <w:spacing w:beforeLines="30" w:afterLines="30"/>
              <w:rPr>
                <w:rFonts w:ascii="Times New Roman" w:hAnsi="Times New Roman" w:eastAsia="仿宋"/>
                <w:kern w:val="0"/>
                <w:sz w:val="24"/>
                <w:szCs w:val="24"/>
              </w:rPr>
            </w:pPr>
            <w:r>
              <w:rPr>
                <w:rFonts w:ascii="Times New Roman" w:hAnsi="Times New Roman" w:eastAsia="方正仿宋_GBK"/>
                <w:kern w:val="0"/>
                <w:sz w:val="24"/>
                <w:szCs w:val="24"/>
              </w:rPr>
              <w:t>鼓励园区建设并运行风能、太阳能等可再生能源应用设施。</w:t>
            </w:r>
          </w:p>
        </w:tc>
        <w:tc>
          <w:tcPr>
            <w:tcW w:w="799" w:type="pct"/>
            <w:vAlign w:val="center"/>
          </w:tcPr>
          <w:p w14:paraId="6441CC8D">
            <w:pPr>
              <w:adjustRightInd w:val="0"/>
              <w:snapToGrid w:val="0"/>
              <w:spacing w:beforeLines="30" w:afterLines="30"/>
              <w:jc w:val="center"/>
              <w:rPr>
                <w:rFonts w:ascii="Times New Roman" w:hAnsi="Times New Roman" w:eastAsia="仿宋"/>
                <w:kern w:val="0"/>
                <w:sz w:val="28"/>
                <w:szCs w:val="28"/>
              </w:rPr>
            </w:pPr>
          </w:p>
        </w:tc>
        <w:tc>
          <w:tcPr>
            <w:tcW w:w="1190" w:type="pct"/>
            <w:vAlign w:val="center"/>
          </w:tcPr>
          <w:p w14:paraId="4A30EDD7">
            <w:pPr>
              <w:adjustRightInd w:val="0"/>
              <w:snapToGrid w:val="0"/>
              <w:spacing w:beforeLines="30" w:afterLines="30"/>
              <w:jc w:val="center"/>
              <w:rPr>
                <w:rFonts w:ascii="Times New Roman" w:hAnsi="Times New Roman" w:eastAsia="方正仿宋_GBK"/>
                <w:kern w:val="0"/>
                <w:sz w:val="28"/>
                <w:szCs w:val="28"/>
              </w:rPr>
            </w:pPr>
          </w:p>
        </w:tc>
      </w:tr>
    </w:tbl>
    <w:p w14:paraId="29DCADD8">
      <w:pPr>
        <w:rPr>
          <w:rFonts w:hint="eastAsia" w:ascii="Times New Roman" w:hAnsi="Times New Roman" w:eastAsia="方正仿宋_GBK"/>
          <w:sz w:val="30"/>
          <w:szCs w:val="30"/>
          <w:lang w:val="en-US" w:eastAsia="zh-CN"/>
        </w:rPr>
      </w:pPr>
    </w:p>
    <w:sectPr>
      <w:pgSz w:w="11906" w:h="16838"/>
      <w:pgMar w:top="1814" w:right="1531" w:bottom="136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F18B9"/>
    <w:rsid w:val="144D2DC6"/>
    <w:rsid w:val="15F5735F"/>
    <w:rsid w:val="4456696C"/>
    <w:rsid w:val="49FF2D24"/>
    <w:rsid w:val="57CC0FC7"/>
    <w:rsid w:val="5C423F4D"/>
    <w:rsid w:val="61333138"/>
    <w:rsid w:val="6EF26FB1"/>
    <w:rsid w:val="742E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734</Words>
  <Characters>763</Characters>
  <Lines>0</Lines>
  <Paragraphs>0</Paragraphs>
  <TotalTime>0</TotalTime>
  <ScaleCrop>false</ScaleCrop>
  <LinksUpToDate>false</LinksUpToDate>
  <CharactersWithSpaces>767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2025-07-01T01:44:00Z</dcterms:created>
  <dc:creator>PC</dc:creator>
  <cp:lastModifiedBy>CC</cp:lastModifiedBy>
  <dcterms:modified xsi:type="dcterms:W3CDTF">2025-07-24T03:57:42Z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eyJoZGlkIjoiMjZkNDYxNDRhYTI4ZmFiYjZiZmI5YWZkNDEzMzJhZmQiLCJ1c2VySWQiOiI1NzIxNjYxMzYifQ==</vt:lpwstr>
  </property>
  <property fmtid="{D5CDD505-2E9C-101B-9397-08002B2CF9AE}" pid="4" name="ICV">
    <vt:lpwstr>94979E65619441E9AE18AB8D5C7EB399_12</vt:lpwstr>
  </property>
</Properties>
</file>