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省级企业技术中心初评方法</w:t>
      </w:r>
    </w:p>
    <w:p>
      <w:pPr>
        <w:jc w:val="left"/>
        <w:rPr>
          <w:rFonts w:ascii="Times New Roman" w:hAnsi="Times New Roman" w:cs="Times New Roman"/>
          <w:b/>
          <w:sz w:val="30"/>
          <w:szCs w:val="30"/>
        </w:rPr>
      </w:pPr>
    </w:p>
    <w:p>
      <w:pPr>
        <w:widowControl/>
        <w:spacing w:line="540" w:lineRule="exact"/>
        <w:ind w:firstLine="6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省级企业技术中心的初评按以下程序进行：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一、基础数据处理</w:t>
      </w:r>
    </w:p>
    <w:p>
      <w:pPr>
        <w:widowControl/>
        <w:spacing w:line="540" w:lineRule="exact"/>
        <w:ind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在进行正式评价之前，根据《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江苏省省级企业技术中心认定评价工作流程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2025 年修订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eastAsia="zh-CN"/>
        </w:rPr>
        <w:t>）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》（苏工信创新〔202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〕2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72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号，以下简称《工作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流程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》）明确的各项指标解释，结合申请报告中的相关附件及证明材料，对企业技术中心提交的“江苏省省级企业技术中心评价数据表”中各项数据值进行逐项核实，对证明材料缺失或无效的数据，按量予以核减，以最终的核定数据作为计算每项指标得分的依据。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二、指标数值计算</w:t>
      </w:r>
    </w:p>
    <w:p>
      <w:pPr>
        <w:spacing w:line="540" w:lineRule="exact"/>
        <w:ind w:right="4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在获得各项指标的核定数据后，可获得《江苏省省级企业技术中心评价指标体系》（见《工作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eastAsia="zh-CN"/>
        </w:rPr>
        <w:t>流程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》附件</w:t>
      </w:r>
      <w:r>
        <w:rPr>
          <w:rFonts w:ascii="Times New Roman" w:hAnsi="Times New Roman" w:eastAsia="Times New Roman" w:cs="Times New Roman"/>
          <w:kern w:val="0"/>
          <w:sz w:val="30"/>
          <w:szCs w:val="30"/>
        </w:rPr>
        <w:t>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第一部分）中各项指标的数值。其中，</w:t>
      </w:r>
      <w:r>
        <w:rPr>
          <w:rFonts w:ascii="Times New Roman" w:hAnsi="Times New Roman" w:eastAsia="方正仿宋_GBK" w:cs="Times New Roman"/>
          <w:color w:val="auto"/>
          <w:kern w:val="0"/>
          <w:sz w:val="30"/>
          <w:szCs w:val="30"/>
        </w:rPr>
        <w:t>有</w:t>
      </w:r>
      <w:r>
        <w:rPr>
          <w:rFonts w:ascii="Times New Roman" w:hAnsi="Times New Roman" w:eastAsia="Times New Roman" w:cs="Times New Roman"/>
          <w:color w:val="auto"/>
          <w:kern w:val="0"/>
          <w:sz w:val="30"/>
          <w:szCs w:val="30"/>
        </w:rPr>
        <w:t>7</w:t>
      </w:r>
      <w:r>
        <w:rPr>
          <w:rFonts w:ascii="Times New Roman" w:hAnsi="Times New Roman" w:eastAsia="方正仿宋_GBK" w:cs="Times New Roman"/>
          <w:color w:val="auto"/>
          <w:kern w:val="0"/>
          <w:sz w:val="30"/>
          <w:szCs w:val="30"/>
        </w:rPr>
        <w:t>项指标的数值须通过计算获得。对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于引入行业系数进行调节的“研发经费支出占主营业务收入的比重”、“新产品销售收入占主营业务收入的比重”、“新产品销售利润占利润总额的比重”</w:t>
      </w:r>
      <w:r>
        <w:rPr>
          <w:rFonts w:ascii="Times New Roman" w:hAnsi="Times New Roman" w:eastAsia="Times New Roman" w:cs="Times New Roman"/>
          <w:kern w:val="0"/>
          <w:sz w:val="30"/>
          <w:szCs w:val="30"/>
        </w:rPr>
        <w:t>3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项指标，在计算获得原始指标数值后，再乘以本企业所在行业的行业系数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bCs/>
          <w:kern w:val="0"/>
          <w:sz w:val="30"/>
          <w:szCs w:val="30"/>
        </w:rPr>
        <w:t>附后</w:t>
      </w:r>
      <w:r>
        <w:rPr>
          <w:rFonts w:ascii="Times New Roman" w:hAnsi="Times New Roman" w:eastAsia="方正仿宋_GBK" w:cs="Times New Roman"/>
          <w:bCs/>
          <w:kern w:val="0"/>
          <w:sz w:val="30"/>
          <w:szCs w:val="30"/>
        </w:rPr>
        <w:t>）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作为计算相关指标得分的最终依据。</w:t>
      </w:r>
    </w:p>
    <w:p>
      <w:pPr>
        <w:spacing w:line="540" w:lineRule="exact"/>
        <w:ind w:left="600" w:right="4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以下是</w:t>
      </w:r>
      <w:r>
        <w:rPr>
          <w:rFonts w:ascii="Times New Roman" w:hAnsi="Times New Roman" w:eastAsia="Times New Roman" w:cs="Times New Roman"/>
          <w:kern w:val="0"/>
          <w:sz w:val="30"/>
          <w:szCs w:val="30"/>
        </w:rPr>
        <w:t>7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项指标具体的计算方法：</w:t>
      </w:r>
      <w:bookmarkStart w:id="2" w:name="_GoBack"/>
      <w:bookmarkEnd w:id="2"/>
    </w:p>
    <w:p>
      <w:pPr>
        <w:spacing w:line="540" w:lineRule="exact"/>
        <w:ind w:firstLine="600" w:firstLineChars="2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（一）“研发人员人均研发经费支出指标”数值，由“研究与试验发展经费支出”核定数据除以“研究与试验发展人员数”核定</w:t>
      </w:r>
      <w:bookmarkStart w:id="0" w:name="page2"/>
      <w:bookmarkEnd w:id="0"/>
      <w:r>
        <w:rPr>
          <w:rFonts w:ascii="Times New Roman" w:hAnsi="Times New Roman" w:eastAsia="方正仿宋_GBK" w:cs="Times New Roman"/>
          <w:kern w:val="0"/>
          <w:sz w:val="30"/>
          <w:szCs w:val="30"/>
        </w:rPr>
        <w:t>数据得到；</w:t>
      </w:r>
    </w:p>
    <w:p>
      <w:pPr>
        <w:spacing w:line="540" w:lineRule="exact"/>
        <w:ind w:right="160" w:firstLine="600" w:firstLineChars="2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（二）“研发经费支出占主营业务收入的比重”数值，由“研究与试验发展经费支出”核定数据除以“主营业务收入”核定数据，再乘以本企业所在行业的行业系数得到；</w:t>
      </w:r>
    </w:p>
    <w:p>
      <w:pPr>
        <w:spacing w:line="540" w:lineRule="exact"/>
        <w:ind w:right="160" w:firstLine="600" w:firstLineChars="2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（三）“研发人员占职工总数的比重”数值，由“研究与试验发展人员数”核定数据除以“企业职工总数”核定数据得到；</w:t>
      </w:r>
    </w:p>
    <w:p>
      <w:pPr>
        <w:spacing w:line="540" w:lineRule="exact"/>
        <w:ind w:firstLine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（四）“研发周期三年以上的项目数占全部研发项目数的比重”数值，由“研发周期三年以上的项目数”核定数据除以“企业全部研发项目数”核定数据得到；</w:t>
      </w:r>
    </w:p>
    <w:p>
      <w:pPr>
        <w:spacing w:line="540" w:lineRule="exact"/>
        <w:ind w:right="16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（五）“新产品销售收入占主营业务收入的比重”数值，由“新产品销售收入”核定数据除以“主营业务收入”核定数据，再乘以本企业所在行业的行业系数得到；</w:t>
      </w:r>
    </w:p>
    <w:p>
      <w:pPr>
        <w:spacing w:line="540" w:lineRule="exact"/>
        <w:ind w:right="16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（六）“新产品销售利润占利润总额的比重”数值，由“新产品销售利润”核定数据除以“利润总额”核定数据，再乘以本企业所在行业的行业系数得到；</w:t>
      </w:r>
    </w:p>
    <w:p>
      <w:pPr>
        <w:widowControl/>
        <w:spacing w:line="540" w:lineRule="exact"/>
        <w:ind w:right="160" w:firstLine="600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（七）“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eastAsia="zh-CN"/>
        </w:rPr>
        <w:t>销售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利润率”数值，由“利润总额”核定数据除以“主营业务收入”核定数据得到。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kern w:val="0"/>
          <w:sz w:val="30"/>
          <w:szCs w:val="30"/>
        </w:rPr>
        <w:t>三、得分计算方法</w:t>
      </w:r>
    </w:p>
    <w:p>
      <w:pPr>
        <w:widowControl/>
        <w:spacing w:line="540" w:lineRule="exact"/>
        <w:ind w:firstLine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获得《江苏省省级企业技术中心评价指标体系》中各项指标的数值后，根据基本要求、满分要求以及相应的计算规则，计算出各项指标的得分，其总和就是该企业的评价得分。</w:t>
      </w:r>
    </w:p>
    <w:p>
      <w:pPr>
        <w:widowControl/>
        <w:spacing w:line="540" w:lineRule="exact"/>
        <w:ind w:left="6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方正楷体_GBK" w:cs="Times New Roman"/>
          <w:kern w:val="0"/>
          <w:sz w:val="30"/>
          <w:szCs w:val="30"/>
        </w:rPr>
        <w:t>（一）关于各项指标的基本要求和满分要求</w:t>
      </w:r>
    </w:p>
    <w:p>
      <w:pPr>
        <w:widowControl/>
        <w:spacing w:line="540" w:lineRule="exact"/>
        <w:ind w:right="160" w:firstLine="6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0" w:h="16838"/>
          <w:pgMar w:top="1440" w:right="1457" w:bottom="1128" w:left="1622" w:header="0" w:footer="454" w:gutter="0"/>
          <w:pgNumType w:start="4"/>
          <w:cols w:equalWidth="0" w:num="1">
            <w:col w:w="8823"/>
          </w:cols>
          <w:docGrid w:linePitch="286" w:charSpace="0"/>
        </w:sect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各项指标的基本要求、满分要求，由已认定省级企业技术中心历史数据测算得到，并根据江苏省企业技术中心创新发展总体情况进行动态调整。当前基本要求、满分要求的数值见下表。</w:t>
      </w:r>
    </w:p>
    <w:p>
      <w:pPr>
        <w:widowControl/>
        <w:spacing w:line="540" w:lineRule="exact"/>
        <w:jc w:val="left"/>
        <w:rPr>
          <w:rFonts w:ascii="Times New Roman" w:hAnsi="Times New Roman" w:eastAsia="宋体" w:cs="Times New Roman"/>
          <w:kern w:val="0"/>
          <w:sz w:val="30"/>
          <w:szCs w:val="30"/>
        </w:rPr>
        <w:sectPr>
          <w:type w:val="continuous"/>
          <w:pgSz w:w="11900" w:h="16838"/>
          <w:pgMar w:top="1440" w:right="9440" w:bottom="1129" w:left="1620" w:header="0" w:footer="0" w:gutter="0"/>
          <w:cols w:equalWidth="0" w:num="1">
            <w:col w:w="840"/>
          </w:cols>
        </w:sectPr>
      </w:pPr>
    </w:p>
    <w:p>
      <w:pPr>
        <w:widowControl/>
        <w:ind w:left="2160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bookmarkStart w:id="1" w:name="page3"/>
      <w:bookmarkEnd w:id="1"/>
      <w:r>
        <w:rPr>
          <w:rFonts w:ascii="Times New Roman" w:hAnsi="Times New Roman" w:eastAsia="方正楷体_GBK" w:cs="Times New Roman"/>
          <w:kern w:val="0"/>
          <w:sz w:val="28"/>
          <w:szCs w:val="28"/>
        </w:rPr>
        <w:t>附表 各项指标基本要求和满分要求</w:t>
      </w:r>
    </w:p>
    <w:p>
      <w:pPr>
        <w:widowControl/>
        <w:spacing w:line="179" w:lineRule="exact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66"/>
        <w:gridCol w:w="565"/>
        <w:gridCol w:w="4189"/>
        <w:gridCol w:w="840"/>
        <w:gridCol w:w="504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权重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三级指标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权重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基本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满分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投入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经费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1.研发人员人均研发经费支出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万元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2.研发经费支出占主营业务收入的比重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创新人才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3.研发人员占企业职工总数的比重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4.技术中心拥有的高级专家和博士人数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人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5.来技术中心从事研发工作的外聘专家人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人月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条件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积累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6.企业拥有的全部有效专利数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7.企业拥有的全部有效发明专利数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8.企业全部研发项目数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9.研发周期三年以上的项目数占全部研发项目数的比重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平台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10.企业技术开发仪器设备原值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万元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11.省级以上研发平台数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个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分档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12.通过国家（国际组织）、省认证的实验室和检测机构数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个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绩效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产出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13.当年被受理的专利申请数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14.当年被受理的发明专利申请数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件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15.最近三年主持和参加制定的国际、国家、行业和团体标准数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创新效益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16.新产品销售收入占主营业务收入的比重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17.新产品销售利润占利润总额的比重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18.销售利润率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≥2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加分项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19.获国家和省科技奖励项目数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≤2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分档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2"/>
        </w:rPr>
        <w:sectPr>
          <w:pgSz w:w="11900" w:h="16838"/>
          <w:pgMar w:top="1440" w:right="1700" w:bottom="1440" w:left="1620" w:header="0" w:footer="454" w:gutter="0"/>
          <w:cols w:equalWidth="0" w:num="1">
            <w:col w:w="8580"/>
          </w:cols>
          <w:docGrid w:linePitch="286" w:charSpace="0"/>
        </w:sectPr>
      </w:pPr>
    </w:p>
    <w:p>
      <w:pPr>
        <w:overflowPunct w:val="0"/>
        <w:snapToGrid w:val="0"/>
        <w:ind w:firstLine="482"/>
        <w:jc w:val="left"/>
        <w:rPr>
          <w:rFonts w:ascii="Times New Roman" w:hAnsi="Times New Roman" w:eastAsia="方正仿宋_GBK" w:cs="Times New Roman"/>
          <w:b/>
          <w:sz w:val="24"/>
          <w:szCs w:val="44"/>
        </w:rPr>
      </w:pPr>
      <w:r>
        <w:rPr>
          <w:rFonts w:ascii="Times New Roman" w:hAnsi="Times New Roman" w:eastAsia="方正仿宋_GBK" w:cs="Times New Roman"/>
          <w:b/>
          <w:sz w:val="24"/>
          <w:szCs w:val="44"/>
        </w:rPr>
        <w:t>指标说明：</w:t>
      </w:r>
    </w:p>
    <w:p>
      <w:pPr>
        <w:overflowPunct w:val="0"/>
        <w:snapToGrid w:val="0"/>
        <w:ind w:firstLine="482"/>
        <w:jc w:val="left"/>
        <w:rPr>
          <w:rFonts w:ascii="Times New Roman" w:hAnsi="Times New Roman" w:eastAsia="方正楷体_GBK" w:cs="Times New Roman"/>
          <w:b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11.省级以上研发平台数：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企业获国家级研发平台数，每个加2分；获江苏省级研发平台数，每个加1分。</w:t>
      </w:r>
    </w:p>
    <w:p>
      <w:pPr>
        <w:overflowPunct w:val="0"/>
        <w:snapToGrid w:val="0"/>
        <w:ind w:firstLine="482"/>
        <w:rPr>
          <w:rFonts w:ascii="Times New Roman" w:hAnsi="Times New Roman" w:eastAsia="方正仿宋_GBK" w:cs="Times New Roman"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17.新产品销售利润占利润总额的比重：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当新产品销售利润≤0时，该项得分为0分；当新产品销售利润＞0且利润总额≤0时，该项得分为6分；其他情况按照指标得分计算规则评分。</w:t>
      </w:r>
    </w:p>
    <w:p>
      <w:pPr>
        <w:overflowPunct w:val="0"/>
        <w:snapToGrid w:val="0"/>
        <w:ind w:firstLine="482"/>
        <w:rPr>
          <w:rFonts w:ascii="Times New Roman" w:hAnsi="Times New Roman" w:eastAsia="方正仿宋_GBK" w:cs="Times New Roman"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18.销售利润率：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当利润总额≤0时，该项得分为0分；其他情况按照指标得分计算规则评分。</w:t>
      </w:r>
    </w:p>
    <w:p>
      <w:pPr>
        <w:overflowPunct w:val="0"/>
        <w:snapToGrid w:val="0"/>
        <w:ind w:firstLine="482"/>
        <w:rPr>
          <w:rFonts w:ascii="Times New Roman" w:hAnsi="Times New Roman" w:eastAsia="方正仿宋_GBK" w:cs="Times New Roman"/>
          <w:kern w:val="0"/>
          <w:sz w:val="24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4"/>
          <w:szCs w:val="28"/>
        </w:rPr>
        <w:t>19.获国家和省科技奖励项目数：</w:t>
      </w:r>
      <w:r>
        <w:rPr>
          <w:rFonts w:ascii="Times New Roman" w:hAnsi="Times New Roman" w:eastAsia="方正仿宋_GBK" w:cs="Times New Roman"/>
          <w:kern w:val="0"/>
          <w:sz w:val="24"/>
          <w:szCs w:val="28"/>
        </w:rPr>
        <w:t>企业作为主要完成单位或企业员工作为主要完成人获国家科技奖励，加2分；获江苏省科技奖励，每项加1分。</w:t>
      </w:r>
    </w:p>
    <w:p>
      <w:pPr>
        <w:widowControl/>
        <w:rPr>
          <w:rFonts w:ascii="Times New Roman" w:hAnsi="Times New Roman" w:eastAsia="宋体" w:cs="Times New Roman"/>
        </w:rPr>
      </w:pPr>
    </w:p>
    <w:p>
      <w:pPr>
        <w:widowControl/>
        <w:spacing w:line="239" w:lineRule="auto"/>
        <w:ind w:left="600"/>
        <w:jc w:val="left"/>
        <w:rPr>
          <w:rFonts w:ascii="Times New Roman" w:hAnsi="Times New Roman" w:eastAsia="方正楷体_GBK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（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二</w:t>
      </w: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）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指标得分计算规则</w:t>
      </w: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drawing>
          <wp:inline distT="0" distB="0" distL="0" distR="0">
            <wp:extent cx="4648200" cy="2649855"/>
            <wp:effectExtent l="0" t="0" r="0" b="0"/>
            <wp:docPr id="1" name="图片 1" descr="C:\Users\ZhangHui\AppData\Local\Temp\1569162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Hui\AppData\Local\Temp\156916262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51" cy="265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jc w:val="center"/>
        <w:rPr>
          <w:rFonts w:ascii="Times New Roman" w:hAnsi="Times New Roman" w:eastAsia="方正黑体_GBK" w:cs="Times New Roman"/>
          <w:b/>
          <w:sz w:val="28"/>
          <w:szCs w:val="28"/>
        </w:rPr>
      </w:pPr>
      <w:r>
        <w:rPr>
          <w:rFonts w:ascii="Times New Roman" w:hAnsi="Times New Roman" w:eastAsia="方正黑体_GBK" w:cs="Times New Roman"/>
          <w:kern w:val="0"/>
          <w:sz w:val="28"/>
          <w:szCs w:val="28"/>
        </w:rPr>
        <w:t>分段线性插值算法示意图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1．指标数值大于或等于满分要求时，指标得分为满分，即指标得分等于上表中的权重；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2．指标数值等于基本要求时，指标得分为权重的60%；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3．指标数值为0时，指标得分为0；</w:t>
      </w:r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4．指标数值处于0和基本要求之间时，指标得分按线性插值的方法计算，具体计算公式为：</w:t>
      </w:r>
    </w:p>
    <w:p>
      <w:pPr>
        <w:widowControl/>
        <w:snapToGrid w:val="0"/>
        <w:jc w:val="center"/>
        <w:rPr>
          <w:rFonts w:ascii="Times New Roman" w:hAnsi="Times New Roman" w:eastAsia="方正黑体_GBK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指标得分=</m:t>
          </m:r>
          <m:f>
            <m:fP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指标数值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×权重的60%</m:t>
          </m:r>
        </m:oMath>
      </m:oMathPara>
    </w:p>
    <w:p>
      <w:pPr>
        <w:widowControl/>
        <w:spacing w:line="540" w:lineRule="exact"/>
        <w:ind w:right="159" w:firstLine="601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5．指标数值处于基本要求和满分要求之间时，指标得分按线性插值的方法计算，具体计算公式为：</w:t>
      </w:r>
    </w:p>
    <w:p>
      <w:pPr>
        <w:widowControl/>
        <w:snapToGrid w:val="0"/>
        <w:jc w:val="center"/>
        <w:rPr>
          <w:rFonts w:ascii="Times New Roman" w:hAnsi="Times New Roman" w:eastAsia="方正仿宋_GBK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指标得分=</m:t>
          </m:r>
          <m:f>
            <m:fP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指标数值</m:t>
              </m:r>
              <m:r>
                <m:rPr>
                  <m:sty m:val="p"/>
                </m:rPr>
                <w:rPr>
                  <w:rFonts w:ascii="Cambria Math" w:hAnsi="Cambria Math" w:eastAsia="微软雅黑" w:cs="Times New Roman"/>
                  <w:kern w:val="0"/>
                  <w:sz w:val="28"/>
                  <w:szCs w:val="28"/>
                </w:rPr>
                <m:t>−</m:t>
              </m:r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满分要求</m:t>
              </m:r>
              <m:r>
                <m:rPr>
                  <m:sty m:val="p"/>
                </m:rPr>
                <w:rPr>
                  <w:rFonts w:ascii="Cambria Math" w:hAnsi="Cambria Math" w:eastAsia="微软雅黑" w:cs="Times New Roman"/>
                  <w:kern w:val="0"/>
                  <w:sz w:val="28"/>
                  <w:szCs w:val="28"/>
                </w:rPr>
                <m:t>−</m:t>
              </m:r>
              <m:r>
                <m:rPr>
                  <m:sty m:val="p"/>
                </m:r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方正黑体_GBK" w:cs="Times New Roman"/>
              <w:kern w:val="0"/>
              <w:sz w:val="28"/>
              <w:szCs w:val="28"/>
            </w:rPr>
            <m:t>×权重的40%+权重的60%</m:t>
          </m:r>
        </m:oMath>
      </m:oMathPara>
    </w:p>
    <w:p>
      <w:pPr>
        <w:widowControl/>
        <w:snapToGrid w:val="0"/>
        <w:spacing w:line="360" w:lineRule="auto"/>
        <w:ind w:left="944" w:leftChars="271" w:hanging="375" w:hangingChars="134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239" w:lineRule="auto"/>
        <w:ind w:left="600"/>
        <w:jc w:val="left"/>
        <w:rPr>
          <w:rFonts w:ascii="Times New Roman" w:hAnsi="Times New Roman" w:eastAsia="方正楷体_GBK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（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三</w:t>
      </w:r>
      <w:r>
        <w:rPr>
          <w:rFonts w:hint="eastAsia" w:ascii="Times New Roman" w:hAnsi="Times New Roman" w:eastAsia="方正楷体_GBK" w:cs="Times New Roman"/>
          <w:kern w:val="0"/>
          <w:sz w:val="30"/>
          <w:szCs w:val="30"/>
        </w:rPr>
        <w:t>）</w:t>
      </w:r>
      <w:r>
        <w:rPr>
          <w:rFonts w:ascii="Times New Roman" w:hAnsi="Times New Roman" w:eastAsia="方正楷体_GBK" w:cs="Times New Roman"/>
          <w:kern w:val="0"/>
          <w:sz w:val="30"/>
          <w:szCs w:val="30"/>
        </w:rPr>
        <w:t>《评价指标体系》行业系数</w:t>
      </w:r>
    </w:p>
    <w:p>
      <w:pPr>
        <w:widowControl/>
        <w:spacing w:line="388" w:lineRule="auto"/>
        <w:ind w:right="160" w:firstLine="600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28"/>
          <w:szCs w:val="28"/>
        </w:rPr>
        <w:t>当前行业系数见下表：</w:t>
      </w:r>
    </w:p>
    <w:tbl>
      <w:tblPr>
        <w:tblStyle w:val="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690"/>
        <w:gridCol w:w="1515"/>
        <w:gridCol w:w="150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7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行业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代码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行业名称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研发经费支出占主营业务收入的比重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新产品销售收入占主营业务收入的比重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新产品销售利润占利润总额的比重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农副食品加工业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食品制造业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纺织业、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服饰业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木材加工和木、竹、藤、棕、草制品业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造纸和纸制品业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24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文教、工美、体育和娱乐用品制造业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化学原料和化学制品制造业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医药制造业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化学纤维制造业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橡胶和塑料制品业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非金属矿物制品业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黑色金属冶炼和压延加工业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有色金属冶炼和压延加工业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1.4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金属制品业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通用设备制造业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专用设备制造业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汽车制造业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铁路、船舶、航空航天和其他运输设备制造业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电气机械和器材制造业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计算机、通信和其他电子设备制造业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仪器仪表制造业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  <w:t>65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 w:bidi="ar"/>
              </w:rPr>
              <w:t>软件和信息技术服务业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  <w:t>0.6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生态保护和环境治理业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100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</w:tr>
    </w:tbl>
    <w:p>
      <w:pPr>
        <w:widowControl/>
        <w:snapToGrid w:val="0"/>
        <w:rPr>
          <w:rFonts w:ascii="Times New Roman" w:hAnsi="Times New Roman" w:eastAsia="宋体" w:cs="Times New Roman"/>
          <w:b/>
          <w:kern w:val="0"/>
          <w:sz w:val="11"/>
          <w:szCs w:val="11"/>
        </w:rPr>
      </w:pPr>
    </w:p>
    <w:p>
      <w:pPr>
        <w:widowControl/>
        <w:snapToGrid w:val="0"/>
        <w:ind w:firstLine="481" w:firstLineChars="200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说明：</w:t>
      </w:r>
    </w:p>
    <w:p>
      <w:pPr>
        <w:widowControl/>
        <w:snapToGrid w:val="0"/>
        <w:ind w:firstLine="480" w:firstLineChars="200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1．由于不同行业在研发投入与产出方面存在较大差异，技术中心评价时，对不同行业企业“研发经费支出占主营业务收入的比重”、“新产品销售收入占主营业务收入的比重”、“新产品销售利润占利润总额的比重”三个指标引入行业系数加以调节。</w:t>
      </w:r>
    </w:p>
    <w:p>
      <w:pPr>
        <w:widowControl/>
        <w:snapToGrid w:val="0"/>
        <w:ind w:firstLine="480" w:firstLineChars="200"/>
        <w:rPr>
          <w:rFonts w:ascii="Times New Roman" w:hAnsi="Times New Roman" w:eastAsia="方正仿宋_GBK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2．企业填报数据表时无需考虑行业系数，按实际数据填报。评价时，根据企业填报的实际数据计算得出上述指标的比重，再乘以行业系数，得出指标的评价值。</w:t>
      </w:r>
    </w:p>
    <w:p>
      <w:pPr>
        <w:widowControl/>
        <w:snapToGrid w:val="0"/>
        <w:ind w:firstLine="480" w:firstLineChars="200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3．</w:t>
      </w:r>
      <w:r>
        <w:rPr>
          <w:rFonts w:ascii="Times New Roman" w:hAnsi="Times New Roman" w:eastAsia="方正仿宋_GBK" w:cs="Times New Roman"/>
          <w:bCs/>
          <w:kern w:val="0"/>
          <w:sz w:val="24"/>
          <w:szCs w:val="24"/>
        </w:rPr>
        <w:t>行业系数表中的“其他”行业包括“交通运输、仓储和邮政业”、“煤炭开采和洗选业”、“石油和天然气开采业”、“废弃资源综合利用业”、“建筑装饰、装修和其他建筑业”等行业。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 w:eastAsia="方正仿宋_GBK" w:cs="Times New Roman"/>
        <w:sz w:val="24"/>
        <w:szCs w:val="24"/>
      </w:rPr>
    </w:sdtEndPr>
    <w:sdtContent>
      <w:p>
        <w:pPr>
          <w:pStyle w:val="3"/>
          <w:ind w:right="360"/>
          <w:jc w:val="right"/>
          <w:rPr>
            <w:rFonts w:ascii="Times New Roman" w:hAnsi="Times New Roman" w:eastAsia="方正仿宋_GBK" w:cs="Times New Roman"/>
            <w:sz w:val="24"/>
            <w:szCs w:val="24"/>
          </w:rPr>
        </w:pPr>
        <w:r>
          <w:rPr>
            <w:rFonts w:ascii="Times New Roman" w:hAnsi="Times New Roman" w:eastAsia="方正仿宋_GBK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方正仿宋_GBK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方正仿宋_GBK" w:cs="Times New Roman"/>
            <w:sz w:val="24"/>
            <w:szCs w:val="24"/>
            <w:lang w:val="zh-CN"/>
          </w:rPr>
          <w:t>9</w: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end"/>
        </w:r>
        <w:r>
          <w:rPr>
            <w:rFonts w:ascii="Times New Roman" w:hAnsi="Times New Roman" w:eastAsia="方正仿宋_GBK" w:cs="Times New Roman"/>
            <w:sz w:val="24"/>
            <w:szCs w:val="24"/>
          </w:rPr>
          <w:t xml:space="preserve"> —</w:t>
        </w:r>
      </w:p>
    </w:sdtContent>
  </w:sdt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1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10"/>
        <w:tab w:val="left" w:pos="6236"/>
      </w:tabs>
    </w:pPr>
    <w:r>
      <w:tab/>
    </w:r>
    <w:r>
      <w:tab/>
    </w:r>
    <w:sdt>
      <w:sdtPr>
        <w:id w:val="492923372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sdtContent>
    </w:sdt>
    <w:r>
      <w:tab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YjQ5MjhmZTM4MTc1Yzc3Zjk5ZWE0ODQ5NjM5MjQifQ=="/>
  </w:docVars>
  <w:rsids>
    <w:rsidRoot w:val="00E32194"/>
    <w:rsid w:val="000227AF"/>
    <w:rsid w:val="000E6162"/>
    <w:rsid w:val="0012573A"/>
    <w:rsid w:val="00226B68"/>
    <w:rsid w:val="00247D5E"/>
    <w:rsid w:val="00272D48"/>
    <w:rsid w:val="002D563F"/>
    <w:rsid w:val="00505442"/>
    <w:rsid w:val="00534C17"/>
    <w:rsid w:val="00557F64"/>
    <w:rsid w:val="0056191E"/>
    <w:rsid w:val="005926FA"/>
    <w:rsid w:val="00670AB6"/>
    <w:rsid w:val="006C59EA"/>
    <w:rsid w:val="006E7810"/>
    <w:rsid w:val="006F4179"/>
    <w:rsid w:val="00773F9C"/>
    <w:rsid w:val="00835E38"/>
    <w:rsid w:val="008C2416"/>
    <w:rsid w:val="008F1FA4"/>
    <w:rsid w:val="0098429B"/>
    <w:rsid w:val="009C5A6C"/>
    <w:rsid w:val="009F773F"/>
    <w:rsid w:val="00A04D40"/>
    <w:rsid w:val="00A266DF"/>
    <w:rsid w:val="00A51B02"/>
    <w:rsid w:val="00AE4F14"/>
    <w:rsid w:val="00B02153"/>
    <w:rsid w:val="00B14A04"/>
    <w:rsid w:val="00C302A1"/>
    <w:rsid w:val="00C43B69"/>
    <w:rsid w:val="00D67407"/>
    <w:rsid w:val="00E263B4"/>
    <w:rsid w:val="00E279A7"/>
    <w:rsid w:val="00E32194"/>
    <w:rsid w:val="00EF038B"/>
    <w:rsid w:val="00F542CA"/>
    <w:rsid w:val="00FE0230"/>
    <w:rsid w:val="05343857"/>
    <w:rsid w:val="054E5F90"/>
    <w:rsid w:val="07110764"/>
    <w:rsid w:val="07B94814"/>
    <w:rsid w:val="0DE46D10"/>
    <w:rsid w:val="14153E12"/>
    <w:rsid w:val="178E2321"/>
    <w:rsid w:val="187E0F97"/>
    <w:rsid w:val="26F81E01"/>
    <w:rsid w:val="296A5420"/>
    <w:rsid w:val="3D1D3D24"/>
    <w:rsid w:val="4D422183"/>
    <w:rsid w:val="5CCD42DA"/>
    <w:rsid w:val="63DE27AE"/>
    <w:rsid w:val="71BD02AB"/>
    <w:rsid w:val="75AD3381"/>
    <w:rsid w:val="99DEB7B8"/>
    <w:rsid w:val="DEFFEFD5"/>
    <w:rsid w:val="EFF37F0E"/>
    <w:rsid w:val="F7FF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1915</Words>
  <Characters>2016</Characters>
  <Lines>22</Lines>
  <Paragraphs>6</Paragraphs>
  <TotalTime>21</TotalTime>
  <ScaleCrop>false</ScaleCrop>
  <LinksUpToDate>false</LinksUpToDate>
  <CharactersWithSpaces>2017</CharactersWithSpaces>
  <Application>WPS Office_12.8.2.17001_F1E327BC-269C-435d-A152-05C5408002CA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2022-03-21T14:19:00Z</dcterms:created>
  <dc:creator>PC</dc:creator>
  <cp:lastModifiedBy>HUAWEI</cp:lastModifiedBy>
  <cp:lastPrinted>2025-09-19T09:29:28Z</cp:lastPrinted>
  <dcterms:modified xsi:type="dcterms:W3CDTF">2025-09-19T09:31:03Z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2052-12.8.2.17001</vt:lpwstr>
  </property>
  <property fmtid="{D5CDD505-2E9C-101B-9397-08002B2CF9AE}" pid="3" name="ICV">
    <vt:lpwstr>2C225C3F87004B4FB21699D05A9A808D_13</vt:lpwstr>
  </property>
  <property fmtid="{D5CDD505-2E9C-101B-9397-08002B2CF9AE}" pid="4" name="KSOTemplateDocerSaveRecord">
    <vt:lpwstr>eyJoZGlkIjoiZWRlNThjMDg5Nzc3M2RjNzE3ZWNhZGU4OTZmMDhjYjMiLCJ1c2VySWQiOiIzMDUyNjU1MDgifQ==</vt:lpwstr>
  </property>
</Properties>
</file>