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CF20D">
      <w:pPr>
        <w:pStyle w:val="35"/>
        <w:rPr>
          <w:rFonts w:hint="eastAsia" w:ascii="方正仿宋_GB2312" w:hAnsi="方正仿宋_GB2312" w:eastAsia="方正仿宋_GB2312" w:cs="方正仿宋_GB2312"/>
          <w:b/>
          <w:sz w:val="44"/>
          <w:szCs w:val="44"/>
        </w:rPr>
      </w:pPr>
      <w:r>
        <w:rPr>
          <w:rFonts w:hint="eastAsia" w:ascii="方正仿宋_GB2312" w:hAnsi="方正仿宋_GB2312" w:eastAsia="方正仿宋_GB2312" w:cs="方正仿宋_GB2312"/>
          <w:b/>
          <w:sz w:val="44"/>
          <w:szCs w:val="44"/>
        </w:rPr>
        <w:t>南京市节能技术服务中心</w:t>
      </w:r>
    </w:p>
    <w:p w14:paraId="7A4ECEAF">
      <w:pPr>
        <w:pStyle w:val="35"/>
        <w:rPr>
          <w:rFonts w:eastAsia="方正小标宋简体"/>
          <w:sz w:val="44"/>
          <w:szCs w:val="44"/>
        </w:rPr>
      </w:pPr>
      <w:r>
        <w:rPr>
          <w:rFonts w:hint="eastAsia" w:ascii="方正仿宋_GB2312" w:hAnsi="方正仿宋_GB2312" w:eastAsia="方正仿宋_GB2312" w:cs="方正仿宋_GB2312"/>
          <w:b/>
          <w:sz w:val="44"/>
          <w:szCs w:val="44"/>
        </w:rPr>
        <w:t>2024年度部门整体绩效自评价报告</w:t>
      </w:r>
    </w:p>
    <w:p w14:paraId="3C5C1A6B">
      <w:pPr>
        <w:adjustRightInd w:val="0"/>
        <w:snapToGrid w:val="0"/>
        <w:spacing w:line="760" w:lineRule="exact"/>
        <w:jc w:val="center"/>
        <w:rPr>
          <w:sz w:val="28"/>
          <w:szCs w:val="28"/>
        </w:rPr>
      </w:pPr>
    </w:p>
    <w:p w14:paraId="346E44AD">
      <w:pPr>
        <w:spacing w:line="500" w:lineRule="exact"/>
        <w:jc w:val="center"/>
        <w:rPr>
          <w:b/>
          <w:spacing w:val="-10"/>
        </w:rPr>
      </w:pPr>
    </w:p>
    <w:p w14:paraId="054D7778">
      <w:pPr>
        <w:spacing w:line="500" w:lineRule="exact"/>
        <w:jc w:val="center"/>
        <w:rPr>
          <w:rFonts w:eastAsia="楷体_GB2312"/>
          <w:b/>
          <w:spacing w:val="-10"/>
          <w:sz w:val="32"/>
        </w:rPr>
      </w:pPr>
    </w:p>
    <w:p w14:paraId="07ECE92D">
      <w:pPr>
        <w:spacing w:line="500" w:lineRule="exact"/>
        <w:rPr>
          <w:rFonts w:eastAsia="楷体_GB2312"/>
          <w:spacing w:val="-10"/>
          <w:sz w:val="28"/>
        </w:rPr>
      </w:pPr>
    </w:p>
    <w:p w14:paraId="26BA07C4">
      <w:pPr>
        <w:spacing w:line="500" w:lineRule="exact"/>
        <w:rPr>
          <w:rFonts w:eastAsia="楷体_GB2312"/>
          <w:spacing w:val="-10"/>
          <w:sz w:val="28"/>
        </w:rPr>
      </w:pPr>
    </w:p>
    <w:p w14:paraId="49C8A852">
      <w:pPr>
        <w:spacing w:line="500" w:lineRule="exact"/>
        <w:rPr>
          <w:rFonts w:eastAsia="楷体_GB2312"/>
          <w:spacing w:val="-10"/>
          <w:sz w:val="28"/>
        </w:rPr>
      </w:pPr>
    </w:p>
    <w:p w14:paraId="31EE1B85">
      <w:pPr>
        <w:spacing w:line="500" w:lineRule="exact"/>
        <w:rPr>
          <w:rFonts w:eastAsia="楷体_GB2312"/>
          <w:spacing w:val="-10"/>
          <w:sz w:val="28"/>
        </w:rPr>
      </w:pPr>
    </w:p>
    <w:p w14:paraId="16A28CF8">
      <w:pPr>
        <w:spacing w:line="500" w:lineRule="exact"/>
        <w:rPr>
          <w:rFonts w:eastAsia="楷体_GB2312"/>
          <w:spacing w:val="-10"/>
          <w:sz w:val="28"/>
        </w:rPr>
      </w:pPr>
    </w:p>
    <w:p w14:paraId="7506BCCA">
      <w:pPr>
        <w:spacing w:line="500" w:lineRule="exact"/>
        <w:rPr>
          <w:rFonts w:eastAsia="楷体_GB2312"/>
          <w:spacing w:val="-10"/>
          <w:sz w:val="28"/>
        </w:rPr>
      </w:pPr>
    </w:p>
    <w:p w14:paraId="1E858227">
      <w:pPr>
        <w:spacing w:line="500" w:lineRule="exact"/>
        <w:rPr>
          <w:rFonts w:eastAsia="楷体_GB2312"/>
          <w:spacing w:val="-10"/>
          <w:sz w:val="28"/>
        </w:rPr>
      </w:pPr>
    </w:p>
    <w:p w14:paraId="02DED3E2">
      <w:pPr>
        <w:spacing w:line="500" w:lineRule="exact"/>
        <w:rPr>
          <w:rFonts w:eastAsia="楷体_GB2312"/>
          <w:spacing w:val="-10"/>
          <w:sz w:val="28"/>
        </w:rPr>
      </w:pPr>
    </w:p>
    <w:p w14:paraId="3973440B">
      <w:pPr>
        <w:spacing w:line="500" w:lineRule="exact"/>
        <w:rPr>
          <w:rFonts w:eastAsia="楷体_GB2312"/>
          <w:spacing w:val="-10"/>
          <w:sz w:val="28"/>
        </w:rPr>
      </w:pPr>
    </w:p>
    <w:p w14:paraId="160623A8">
      <w:pPr>
        <w:spacing w:line="500" w:lineRule="exact"/>
        <w:rPr>
          <w:rFonts w:eastAsia="楷体_GB2312"/>
          <w:spacing w:val="-10"/>
          <w:sz w:val="28"/>
        </w:rPr>
      </w:pPr>
    </w:p>
    <w:p w14:paraId="04929D5B">
      <w:pPr>
        <w:spacing w:line="500" w:lineRule="exact"/>
        <w:rPr>
          <w:rFonts w:eastAsia="楷体_GB2312"/>
          <w:spacing w:val="-10"/>
          <w:sz w:val="28"/>
        </w:rPr>
      </w:pPr>
    </w:p>
    <w:p w14:paraId="07AB5DD1">
      <w:pPr>
        <w:jc w:val="center"/>
        <w:rPr>
          <w:rFonts w:eastAsia="楷体_GB2312"/>
          <w:sz w:val="36"/>
        </w:rPr>
      </w:pPr>
      <w:r>
        <w:rPr>
          <w:rFonts w:hint="eastAsia" w:eastAsia="楷体_GB2312"/>
          <w:sz w:val="36"/>
        </w:rPr>
        <w:t>南京市节能技术服务中心</w:t>
      </w:r>
    </w:p>
    <w:p w14:paraId="543ABF6A">
      <w:pPr>
        <w:jc w:val="center"/>
        <w:rPr>
          <w:rFonts w:hint="eastAsia" w:ascii="方正仿宋_GB2312" w:hAnsi="方正仿宋_GB2312" w:eastAsia="方正仿宋_GB2312" w:cs="方正仿宋_GB2312"/>
          <w:b/>
          <w:bCs/>
          <w:color w:val="000000"/>
          <w:sz w:val="28"/>
          <w:szCs w:val="28"/>
        </w:rPr>
      </w:pPr>
      <w:r>
        <w:rPr>
          <w:rFonts w:hint="eastAsia" w:eastAsia="楷体_GB2312"/>
          <w:sz w:val="36"/>
        </w:rPr>
        <w:t>二〇二五</w:t>
      </w:r>
      <w:r>
        <w:rPr>
          <w:rFonts w:eastAsia="楷体_GB2312"/>
          <w:sz w:val="36"/>
        </w:rPr>
        <w:t>年六月</w:t>
      </w:r>
    </w:p>
    <w:p w14:paraId="6CCE30F4">
      <w:pPr>
        <w:spacing w:line="560" w:lineRule="exact"/>
        <w:jc w:val="center"/>
        <w:rPr>
          <w:rStyle w:val="22"/>
          <w:rFonts w:hint="eastAsia" w:ascii="方正小标宋简体" w:hAnsi="方正小标宋简体" w:eastAsia="方正小标宋简体" w:cs="方正小标宋简体"/>
          <w:b/>
          <w:bCs/>
          <w:sz w:val="44"/>
          <w:szCs w:val="44"/>
        </w:rPr>
        <w:sectPr>
          <w:footerReference r:id="rId3" w:type="default"/>
          <w:pgSz w:w="11906" w:h="16838"/>
          <w:pgMar w:top="1440" w:right="1803" w:bottom="1440" w:left="1803" w:header="851" w:footer="992" w:gutter="0"/>
          <w:cols w:space="0" w:num="1"/>
          <w:docGrid w:type="lines" w:linePitch="312" w:charSpace="0"/>
        </w:sectPr>
      </w:pPr>
    </w:p>
    <w:p w14:paraId="3D38EC9D">
      <w:pPr>
        <w:pStyle w:val="36"/>
        <w:spacing w:line="360" w:lineRule="auto"/>
        <w:jc w:val="center"/>
        <w:rPr>
          <w:rFonts w:hint="eastAsia" w:ascii="方正仿宋_GB2312" w:hAnsi="方正仿宋_GB2312" w:eastAsia="方正仿宋_GB2312" w:cs="方正仿宋_GB2312"/>
          <w:b/>
          <w:bCs/>
          <w:color w:val="000000"/>
          <w:sz w:val="28"/>
          <w:szCs w:val="28"/>
        </w:rPr>
      </w:pPr>
      <w:r>
        <w:rPr>
          <w:rFonts w:hint="eastAsia" w:ascii="方正仿宋_GB2312" w:hAnsi="方正仿宋_GB2312" w:eastAsia="方正仿宋_GB2312" w:cs="方正仿宋_GB2312"/>
          <w:b/>
          <w:bCs/>
          <w:color w:val="000000"/>
          <w:sz w:val="28"/>
          <w:szCs w:val="28"/>
          <w:lang w:val="zh-CN"/>
        </w:rPr>
        <w:t>目</w:t>
      </w:r>
      <w:r>
        <w:rPr>
          <w:rFonts w:hint="eastAsia" w:ascii="方正仿宋_GB2312" w:hAnsi="方正仿宋_GB2312" w:eastAsia="方正仿宋_GB2312" w:cs="方正仿宋_GB2312"/>
          <w:b/>
          <w:bCs/>
          <w:color w:val="000000"/>
          <w:sz w:val="28"/>
          <w:szCs w:val="28"/>
        </w:rPr>
        <w:t xml:space="preserve">  </w:t>
      </w:r>
      <w:r>
        <w:rPr>
          <w:rFonts w:hint="eastAsia" w:ascii="方正仿宋_GB2312" w:hAnsi="方正仿宋_GB2312" w:eastAsia="方正仿宋_GB2312" w:cs="方正仿宋_GB2312"/>
          <w:b/>
          <w:bCs/>
          <w:color w:val="000000"/>
          <w:sz w:val="28"/>
          <w:szCs w:val="28"/>
          <w:lang w:val="zh-CN"/>
        </w:rPr>
        <w:t>录</w:t>
      </w:r>
    </w:p>
    <w:p w14:paraId="4BDA1322">
      <w:pPr>
        <w:pStyle w:val="10"/>
        <w:tabs>
          <w:tab w:val="right" w:leader="dot" w:pos="8300"/>
        </w:tabs>
        <w:spacing w:line="360" w:lineRule="auto"/>
      </w:pPr>
      <w:r>
        <w:rPr>
          <w:rFonts w:hint="eastAsia" w:ascii="方正仿宋_GB2312" w:hAnsi="方正仿宋_GB2312" w:eastAsia="方正仿宋_GB2312" w:cs="方正仿宋_GB2312"/>
          <w:color w:val="000000"/>
          <w:szCs w:val="21"/>
        </w:rPr>
        <w:fldChar w:fldCharType="begin"/>
      </w:r>
      <w:r>
        <w:rPr>
          <w:rFonts w:hint="eastAsia" w:ascii="方正仿宋_GB2312" w:hAnsi="方正仿宋_GB2312" w:eastAsia="方正仿宋_GB2312" w:cs="方正仿宋_GB2312"/>
          <w:color w:val="000000"/>
          <w:szCs w:val="21"/>
        </w:rPr>
        <w:instrText xml:space="preserve"> TOC \o "1-3" \h \z \u </w:instrText>
      </w:r>
      <w:r>
        <w:rPr>
          <w:rFonts w:hint="eastAsia" w:ascii="方正仿宋_GB2312" w:hAnsi="方正仿宋_GB2312" w:eastAsia="方正仿宋_GB2312" w:cs="方正仿宋_GB2312"/>
          <w:color w:val="000000"/>
          <w:szCs w:val="21"/>
        </w:rPr>
        <w:fldChar w:fldCharType="separate"/>
      </w:r>
      <w:r>
        <w:fldChar w:fldCharType="begin"/>
      </w:r>
      <w:r>
        <w:instrText xml:space="preserve"> HYPERLINK \l "_Toc4913" </w:instrText>
      </w:r>
      <w:r>
        <w:fldChar w:fldCharType="separate"/>
      </w:r>
      <w:r>
        <w:rPr>
          <w:rFonts w:hint="eastAsia" w:ascii="方正仿宋_GB2312" w:hAnsi="方正仿宋_GB2312" w:eastAsia="方正仿宋_GB2312" w:cs="方正仿宋_GB2312"/>
          <w:bCs/>
          <w:kern w:val="0"/>
          <w:szCs w:val="28"/>
        </w:rPr>
        <w:t>一、单位概况</w:t>
      </w:r>
      <w:r>
        <w:tab/>
      </w:r>
      <w:r>
        <w:fldChar w:fldCharType="begin"/>
      </w:r>
      <w:r>
        <w:instrText xml:space="preserve"> PAGEREF _Toc4913 \h </w:instrText>
      </w:r>
      <w:r>
        <w:fldChar w:fldCharType="separate"/>
      </w:r>
      <w:r>
        <w:t>1</w:t>
      </w:r>
      <w:r>
        <w:fldChar w:fldCharType="end"/>
      </w:r>
      <w:r>
        <w:fldChar w:fldCharType="end"/>
      </w:r>
    </w:p>
    <w:p w14:paraId="081CDFDD">
      <w:pPr>
        <w:pStyle w:val="11"/>
        <w:tabs>
          <w:tab w:val="right" w:leader="dot" w:pos="8300"/>
        </w:tabs>
        <w:spacing w:line="360" w:lineRule="auto"/>
      </w:pPr>
      <w:r>
        <w:fldChar w:fldCharType="begin"/>
      </w:r>
      <w:r>
        <w:instrText xml:space="preserve"> HYPERLINK \l "_Toc21268" </w:instrText>
      </w:r>
      <w:r>
        <w:fldChar w:fldCharType="separate"/>
      </w:r>
      <w:r>
        <w:rPr>
          <w:rFonts w:hint="eastAsia" w:ascii="方正仿宋_GB2312" w:hAnsi="方正仿宋_GB2312" w:eastAsia="方正仿宋_GB2312" w:cs="方正仿宋_GB2312"/>
          <w:bCs/>
          <w:kern w:val="0"/>
          <w:szCs w:val="28"/>
        </w:rPr>
        <w:t>（</w:t>
      </w:r>
      <w:r>
        <w:rPr>
          <w:rFonts w:hint="eastAsia" w:ascii="方正仿宋_GB2312" w:hAnsi="方正仿宋_GB2312" w:eastAsia="方正仿宋_GB2312" w:cs="方正仿宋_GB2312"/>
          <w:bCs/>
          <w:szCs w:val="28"/>
        </w:rPr>
        <w:t>一）基本情况</w:t>
      </w:r>
      <w:r>
        <w:tab/>
      </w:r>
      <w:r>
        <w:fldChar w:fldCharType="begin"/>
      </w:r>
      <w:r>
        <w:instrText xml:space="preserve"> PAGEREF _Toc21268 \h </w:instrText>
      </w:r>
      <w:r>
        <w:fldChar w:fldCharType="separate"/>
      </w:r>
      <w:r>
        <w:t>1</w:t>
      </w:r>
      <w:r>
        <w:fldChar w:fldCharType="end"/>
      </w:r>
      <w:r>
        <w:fldChar w:fldCharType="end"/>
      </w:r>
    </w:p>
    <w:p w14:paraId="56C4D2F6">
      <w:pPr>
        <w:pStyle w:val="11"/>
        <w:tabs>
          <w:tab w:val="right" w:leader="dot" w:pos="8300"/>
        </w:tabs>
        <w:spacing w:line="360" w:lineRule="auto"/>
      </w:pPr>
      <w:r>
        <w:fldChar w:fldCharType="begin"/>
      </w:r>
      <w:r>
        <w:instrText xml:space="preserve"> HYPERLINK \l "_Toc16041" </w:instrText>
      </w:r>
      <w:r>
        <w:fldChar w:fldCharType="separate"/>
      </w:r>
      <w:r>
        <w:rPr>
          <w:rFonts w:hint="eastAsia" w:ascii="方正仿宋_GB2312" w:hAnsi="方正仿宋_GB2312" w:eastAsia="方正仿宋_GB2312" w:cs="方正仿宋_GB2312"/>
          <w:bCs/>
          <w:kern w:val="0"/>
          <w:szCs w:val="28"/>
        </w:rPr>
        <w:t>（二</w:t>
      </w:r>
      <w:r>
        <w:rPr>
          <w:rFonts w:hint="eastAsia" w:ascii="方正仿宋_GB2312" w:hAnsi="方正仿宋_GB2312" w:eastAsia="方正仿宋_GB2312" w:cs="方正仿宋_GB2312"/>
          <w:bCs/>
          <w:szCs w:val="28"/>
        </w:rPr>
        <w:t>）单位资金情况</w:t>
      </w:r>
      <w:r>
        <w:tab/>
      </w:r>
      <w:r>
        <w:fldChar w:fldCharType="begin"/>
      </w:r>
      <w:r>
        <w:instrText xml:space="preserve"> PAGEREF _Toc16041 \h </w:instrText>
      </w:r>
      <w:r>
        <w:fldChar w:fldCharType="separate"/>
      </w:r>
      <w:r>
        <w:t>3</w:t>
      </w:r>
      <w:r>
        <w:fldChar w:fldCharType="end"/>
      </w:r>
      <w:r>
        <w:fldChar w:fldCharType="end"/>
      </w:r>
    </w:p>
    <w:p w14:paraId="57DE119D">
      <w:pPr>
        <w:pStyle w:val="10"/>
        <w:tabs>
          <w:tab w:val="right" w:leader="dot" w:pos="8300"/>
        </w:tabs>
        <w:spacing w:line="360" w:lineRule="auto"/>
        <w:ind w:firstLine="420" w:firstLineChars="200"/>
      </w:pPr>
      <w:r>
        <w:fldChar w:fldCharType="begin"/>
      </w:r>
      <w:r>
        <w:instrText xml:space="preserve"> HYPERLINK \l "_Toc10526" </w:instrText>
      </w:r>
      <w:r>
        <w:fldChar w:fldCharType="separate"/>
      </w:r>
      <w:r>
        <w:rPr>
          <w:rFonts w:hint="eastAsia" w:ascii="方正仿宋_GB2312" w:hAnsi="方正仿宋_GB2312" w:eastAsia="方正仿宋_GB2312" w:cs="方正仿宋_GB2312"/>
          <w:bCs/>
          <w:kern w:val="0"/>
          <w:szCs w:val="28"/>
        </w:rPr>
        <w:t>（三</w:t>
      </w:r>
      <w:r>
        <w:rPr>
          <w:rFonts w:hint="eastAsia" w:ascii="方正仿宋_GB2312" w:hAnsi="方正仿宋_GB2312" w:eastAsia="方正仿宋_GB2312" w:cs="方正仿宋_GB2312"/>
          <w:bCs/>
          <w:szCs w:val="28"/>
        </w:rPr>
        <w:t>）单位绩效目标</w:t>
      </w:r>
      <w:r>
        <w:tab/>
      </w:r>
      <w:r>
        <w:fldChar w:fldCharType="begin"/>
      </w:r>
      <w:r>
        <w:instrText xml:space="preserve"> PAGEREF _Toc10526 \h </w:instrText>
      </w:r>
      <w:r>
        <w:fldChar w:fldCharType="separate"/>
      </w:r>
      <w:r>
        <w:t>4</w:t>
      </w:r>
      <w:r>
        <w:fldChar w:fldCharType="end"/>
      </w:r>
      <w:r>
        <w:fldChar w:fldCharType="end"/>
      </w:r>
    </w:p>
    <w:p w14:paraId="7D56A39A">
      <w:pPr>
        <w:pStyle w:val="10"/>
        <w:tabs>
          <w:tab w:val="right" w:leader="dot" w:pos="8300"/>
        </w:tabs>
        <w:spacing w:line="360" w:lineRule="auto"/>
      </w:pPr>
      <w:r>
        <w:fldChar w:fldCharType="begin"/>
      </w:r>
      <w:r>
        <w:instrText xml:space="preserve"> HYPERLINK \l "_Toc5462" </w:instrText>
      </w:r>
      <w:r>
        <w:fldChar w:fldCharType="separate"/>
      </w:r>
      <w:r>
        <w:rPr>
          <w:rFonts w:hint="eastAsia" w:ascii="方正仿宋_GB2312" w:hAnsi="方正仿宋_GB2312" w:eastAsia="方正仿宋_GB2312" w:cs="方正仿宋_GB2312"/>
          <w:bCs/>
          <w:kern w:val="0"/>
          <w:szCs w:val="28"/>
        </w:rPr>
        <w:t>二、评价结论</w:t>
      </w:r>
      <w:r>
        <w:tab/>
      </w:r>
      <w:r>
        <w:fldChar w:fldCharType="begin"/>
      </w:r>
      <w:r>
        <w:instrText xml:space="preserve"> PAGEREF _Toc5462 \h </w:instrText>
      </w:r>
      <w:r>
        <w:fldChar w:fldCharType="separate"/>
      </w:r>
      <w:r>
        <w:t>5</w:t>
      </w:r>
      <w:r>
        <w:fldChar w:fldCharType="end"/>
      </w:r>
      <w:r>
        <w:fldChar w:fldCharType="end"/>
      </w:r>
    </w:p>
    <w:p w14:paraId="7FCF368A">
      <w:pPr>
        <w:pStyle w:val="11"/>
        <w:tabs>
          <w:tab w:val="right" w:leader="dot" w:pos="8300"/>
        </w:tabs>
        <w:spacing w:line="360" w:lineRule="auto"/>
      </w:pPr>
      <w:r>
        <w:fldChar w:fldCharType="begin"/>
      </w:r>
      <w:r>
        <w:instrText xml:space="preserve"> HYPERLINK \l "_Toc29785" </w:instrText>
      </w:r>
      <w:r>
        <w:fldChar w:fldCharType="separate"/>
      </w:r>
      <w:r>
        <w:rPr>
          <w:rFonts w:hint="eastAsia" w:ascii="方正仿宋_GB2312" w:hAnsi="方正仿宋_GB2312" w:eastAsia="方正仿宋_GB2312" w:cs="方正仿宋_GB2312"/>
          <w:bCs/>
          <w:kern w:val="0"/>
          <w:szCs w:val="28"/>
        </w:rPr>
        <w:t>（一）评价对象与范围</w:t>
      </w:r>
      <w:r>
        <w:tab/>
      </w:r>
      <w:r>
        <w:fldChar w:fldCharType="begin"/>
      </w:r>
      <w:r>
        <w:instrText xml:space="preserve"> PAGEREF _Toc29785 \h </w:instrText>
      </w:r>
      <w:r>
        <w:fldChar w:fldCharType="separate"/>
      </w:r>
      <w:r>
        <w:t>5</w:t>
      </w:r>
      <w:r>
        <w:fldChar w:fldCharType="end"/>
      </w:r>
      <w:r>
        <w:fldChar w:fldCharType="end"/>
      </w:r>
    </w:p>
    <w:p w14:paraId="4B6C460A">
      <w:pPr>
        <w:pStyle w:val="11"/>
        <w:tabs>
          <w:tab w:val="right" w:leader="dot" w:pos="8300"/>
        </w:tabs>
        <w:spacing w:line="360" w:lineRule="auto"/>
      </w:pPr>
      <w:r>
        <w:fldChar w:fldCharType="begin"/>
      </w:r>
      <w:r>
        <w:instrText xml:space="preserve"> HYPERLINK \l "_Toc14590" </w:instrText>
      </w:r>
      <w:r>
        <w:fldChar w:fldCharType="separate"/>
      </w:r>
      <w:r>
        <w:rPr>
          <w:rFonts w:hint="eastAsia" w:ascii="方正仿宋_GB2312" w:hAnsi="方正仿宋_GB2312" w:eastAsia="方正仿宋_GB2312" w:cs="方正仿宋_GB2312"/>
          <w:bCs/>
          <w:kern w:val="0"/>
          <w:szCs w:val="28"/>
        </w:rPr>
        <w:t>（二）绩效评价结论</w:t>
      </w:r>
      <w:r>
        <w:tab/>
      </w:r>
      <w:r>
        <w:fldChar w:fldCharType="begin"/>
      </w:r>
      <w:r>
        <w:instrText xml:space="preserve"> PAGEREF _Toc14590 \h </w:instrText>
      </w:r>
      <w:r>
        <w:fldChar w:fldCharType="separate"/>
      </w:r>
      <w:r>
        <w:t>5</w:t>
      </w:r>
      <w:r>
        <w:fldChar w:fldCharType="end"/>
      </w:r>
      <w:r>
        <w:fldChar w:fldCharType="end"/>
      </w:r>
    </w:p>
    <w:p w14:paraId="13C7DBDB">
      <w:pPr>
        <w:pStyle w:val="10"/>
        <w:tabs>
          <w:tab w:val="right" w:leader="dot" w:pos="8300"/>
        </w:tabs>
        <w:spacing w:line="360" w:lineRule="auto"/>
      </w:pPr>
      <w:r>
        <w:fldChar w:fldCharType="begin"/>
      </w:r>
      <w:r>
        <w:instrText xml:space="preserve"> HYPERLINK \l "_Toc8180" </w:instrText>
      </w:r>
      <w:r>
        <w:fldChar w:fldCharType="separate"/>
      </w:r>
      <w:r>
        <w:rPr>
          <w:rFonts w:hint="eastAsia" w:ascii="方正仿宋_GB2312" w:hAnsi="方正仿宋_GB2312" w:eastAsia="方正仿宋_GB2312" w:cs="方正仿宋_GB2312"/>
          <w:bCs/>
          <w:kern w:val="0"/>
          <w:szCs w:val="28"/>
        </w:rPr>
        <w:t>三、单位履职成效</w:t>
      </w:r>
      <w:r>
        <w:tab/>
      </w:r>
      <w:r>
        <w:fldChar w:fldCharType="begin"/>
      </w:r>
      <w:r>
        <w:instrText xml:space="preserve"> PAGEREF _Toc8180 \h </w:instrText>
      </w:r>
      <w:r>
        <w:fldChar w:fldCharType="separate"/>
      </w:r>
      <w:r>
        <w:t>6</w:t>
      </w:r>
      <w:r>
        <w:fldChar w:fldCharType="end"/>
      </w:r>
      <w:r>
        <w:fldChar w:fldCharType="end"/>
      </w:r>
    </w:p>
    <w:p w14:paraId="754A1B73">
      <w:pPr>
        <w:pStyle w:val="11"/>
        <w:tabs>
          <w:tab w:val="right" w:leader="dot" w:pos="8300"/>
        </w:tabs>
        <w:spacing w:line="360" w:lineRule="auto"/>
      </w:pPr>
      <w:r>
        <w:fldChar w:fldCharType="begin"/>
      </w:r>
      <w:r>
        <w:instrText xml:space="preserve"> HYPERLINK \l "_Toc32398" </w:instrText>
      </w:r>
      <w:r>
        <w:fldChar w:fldCharType="separate"/>
      </w:r>
      <w:r>
        <w:rPr>
          <w:rFonts w:hint="eastAsia" w:ascii="方正仿宋_GB2312" w:hAnsi="方正仿宋_GB2312" w:eastAsia="方正仿宋_GB2312" w:cs="方正仿宋_GB2312"/>
          <w:bCs/>
          <w:kern w:val="0"/>
          <w:szCs w:val="28"/>
        </w:rPr>
        <w:t>（一）强化公益与技术支撑，启动绿色发展新征程</w:t>
      </w:r>
      <w:r>
        <w:tab/>
      </w:r>
      <w:r>
        <w:fldChar w:fldCharType="begin"/>
      </w:r>
      <w:r>
        <w:instrText xml:space="preserve"> PAGEREF _Toc32398 \h </w:instrText>
      </w:r>
      <w:r>
        <w:fldChar w:fldCharType="separate"/>
      </w:r>
      <w:r>
        <w:t>6</w:t>
      </w:r>
      <w:r>
        <w:fldChar w:fldCharType="end"/>
      </w:r>
      <w:r>
        <w:fldChar w:fldCharType="end"/>
      </w:r>
    </w:p>
    <w:p w14:paraId="370C0224">
      <w:pPr>
        <w:pStyle w:val="11"/>
        <w:tabs>
          <w:tab w:val="right" w:leader="dot" w:pos="8300"/>
        </w:tabs>
        <w:spacing w:line="360" w:lineRule="auto"/>
      </w:pPr>
      <w:r>
        <w:fldChar w:fldCharType="begin"/>
      </w:r>
      <w:r>
        <w:instrText xml:space="preserve"> HYPERLINK \l "_Toc20927" </w:instrText>
      </w:r>
      <w:r>
        <w:fldChar w:fldCharType="separate"/>
      </w:r>
      <w:r>
        <w:rPr>
          <w:rFonts w:hint="eastAsia" w:ascii="方正仿宋_GB2312" w:hAnsi="方正仿宋_GB2312" w:eastAsia="方正仿宋_GB2312" w:cs="方正仿宋_GB2312"/>
          <w:bCs/>
          <w:kern w:val="0"/>
          <w:szCs w:val="28"/>
        </w:rPr>
        <w:t>（二）强化宣传培训引导，打造能源管理高素质队伍</w:t>
      </w:r>
      <w:r>
        <w:tab/>
      </w:r>
      <w:r>
        <w:fldChar w:fldCharType="begin"/>
      </w:r>
      <w:r>
        <w:instrText xml:space="preserve"> PAGEREF _Toc20927 \h </w:instrText>
      </w:r>
      <w:r>
        <w:fldChar w:fldCharType="separate"/>
      </w:r>
      <w:r>
        <w:t>8</w:t>
      </w:r>
      <w:r>
        <w:fldChar w:fldCharType="end"/>
      </w:r>
      <w:r>
        <w:fldChar w:fldCharType="end"/>
      </w:r>
    </w:p>
    <w:p w14:paraId="62BAE030">
      <w:pPr>
        <w:pStyle w:val="11"/>
        <w:tabs>
          <w:tab w:val="right" w:leader="dot" w:pos="8300"/>
        </w:tabs>
        <w:spacing w:line="360" w:lineRule="auto"/>
      </w:pPr>
      <w:r>
        <w:fldChar w:fldCharType="begin"/>
      </w:r>
      <w:r>
        <w:instrText xml:space="preserve"> HYPERLINK \l "_Toc20196" </w:instrText>
      </w:r>
      <w:r>
        <w:fldChar w:fldCharType="separate"/>
      </w:r>
      <w:r>
        <w:rPr>
          <w:rFonts w:hint="eastAsia" w:ascii="方正仿宋_GB2312" w:hAnsi="方正仿宋_GB2312" w:eastAsia="方正仿宋_GB2312" w:cs="方正仿宋_GB2312"/>
          <w:bCs/>
          <w:kern w:val="0"/>
          <w:szCs w:val="28"/>
        </w:rPr>
        <w:t>（三）强化市场服务意识，激发绿色发展活力</w:t>
      </w:r>
      <w:r>
        <w:tab/>
      </w:r>
      <w:r>
        <w:fldChar w:fldCharType="begin"/>
      </w:r>
      <w:r>
        <w:instrText xml:space="preserve"> PAGEREF _Toc20196 \h </w:instrText>
      </w:r>
      <w:r>
        <w:fldChar w:fldCharType="separate"/>
      </w:r>
      <w:r>
        <w:t>9</w:t>
      </w:r>
      <w:r>
        <w:fldChar w:fldCharType="end"/>
      </w:r>
      <w:r>
        <w:fldChar w:fldCharType="end"/>
      </w:r>
    </w:p>
    <w:p w14:paraId="36378BB9">
      <w:pPr>
        <w:pStyle w:val="11"/>
        <w:tabs>
          <w:tab w:val="right" w:leader="dot" w:pos="8300"/>
        </w:tabs>
        <w:spacing w:line="360" w:lineRule="auto"/>
      </w:pPr>
      <w:r>
        <w:fldChar w:fldCharType="begin"/>
      </w:r>
      <w:r>
        <w:instrText xml:space="preserve"> HYPERLINK \l "_Toc26682" </w:instrText>
      </w:r>
      <w:r>
        <w:fldChar w:fldCharType="separate"/>
      </w:r>
      <w:r>
        <w:rPr>
          <w:rFonts w:hint="eastAsia" w:ascii="方正仿宋_GB2312" w:hAnsi="方正仿宋_GB2312" w:eastAsia="方正仿宋_GB2312" w:cs="方正仿宋_GB2312"/>
          <w:bCs/>
          <w:kern w:val="0"/>
          <w:szCs w:val="28"/>
        </w:rPr>
        <w:t>（四）强化党建政治引领，推进中心高质量发展</w:t>
      </w:r>
      <w:r>
        <w:tab/>
      </w:r>
      <w:r>
        <w:fldChar w:fldCharType="begin"/>
      </w:r>
      <w:r>
        <w:instrText xml:space="preserve"> PAGEREF _Toc26682 \h </w:instrText>
      </w:r>
      <w:r>
        <w:fldChar w:fldCharType="separate"/>
      </w:r>
      <w:r>
        <w:t>9</w:t>
      </w:r>
      <w:r>
        <w:fldChar w:fldCharType="end"/>
      </w:r>
      <w:r>
        <w:fldChar w:fldCharType="end"/>
      </w:r>
    </w:p>
    <w:p w14:paraId="0BF7FC78">
      <w:pPr>
        <w:pStyle w:val="10"/>
        <w:tabs>
          <w:tab w:val="right" w:leader="dot" w:pos="8300"/>
        </w:tabs>
        <w:spacing w:line="360" w:lineRule="auto"/>
      </w:pPr>
      <w:r>
        <w:fldChar w:fldCharType="begin"/>
      </w:r>
      <w:r>
        <w:instrText xml:space="preserve"> HYPERLINK \l "_Toc19221" </w:instrText>
      </w:r>
      <w:r>
        <w:fldChar w:fldCharType="separate"/>
      </w:r>
      <w:r>
        <w:rPr>
          <w:rFonts w:hint="eastAsia" w:ascii="方正仿宋_GB2312" w:hAnsi="方正仿宋_GB2312" w:eastAsia="方正仿宋_GB2312" w:cs="方正仿宋_GB2312"/>
          <w:bCs/>
          <w:kern w:val="0"/>
          <w:szCs w:val="28"/>
        </w:rPr>
        <w:t>四、存在问题及原因分析</w:t>
      </w:r>
      <w:r>
        <w:tab/>
      </w:r>
      <w:r>
        <w:fldChar w:fldCharType="begin"/>
      </w:r>
      <w:r>
        <w:instrText xml:space="preserve"> PAGEREF _Toc19221 \h </w:instrText>
      </w:r>
      <w:r>
        <w:fldChar w:fldCharType="separate"/>
      </w:r>
      <w:r>
        <w:t>11</w:t>
      </w:r>
      <w:r>
        <w:fldChar w:fldCharType="end"/>
      </w:r>
      <w:r>
        <w:fldChar w:fldCharType="end"/>
      </w:r>
    </w:p>
    <w:p w14:paraId="439D4D47">
      <w:pPr>
        <w:pStyle w:val="11"/>
        <w:tabs>
          <w:tab w:val="right" w:leader="dot" w:pos="8300"/>
        </w:tabs>
        <w:spacing w:line="360" w:lineRule="auto"/>
      </w:pPr>
      <w:r>
        <w:fldChar w:fldCharType="begin"/>
      </w:r>
      <w:r>
        <w:instrText xml:space="preserve"> HYPERLINK \l "_Toc12896" </w:instrText>
      </w:r>
      <w:r>
        <w:fldChar w:fldCharType="separate"/>
      </w:r>
      <w:r>
        <w:rPr>
          <w:rFonts w:hint="eastAsia" w:ascii="方正仿宋_GB2312" w:hAnsi="方正仿宋_GB2312" w:eastAsia="方正仿宋_GB2312" w:cs="方正仿宋_GB2312"/>
          <w:bCs/>
          <w:kern w:val="0"/>
          <w:szCs w:val="28"/>
        </w:rPr>
        <w:t>（一）预算执行水平有待提升</w:t>
      </w:r>
      <w:r>
        <w:tab/>
      </w:r>
      <w:r>
        <w:fldChar w:fldCharType="begin"/>
      </w:r>
      <w:r>
        <w:instrText xml:space="preserve"> PAGEREF _Toc12896 \h </w:instrText>
      </w:r>
      <w:r>
        <w:fldChar w:fldCharType="separate"/>
      </w:r>
      <w:r>
        <w:t>11</w:t>
      </w:r>
      <w:r>
        <w:fldChar w:fldCharType="end"/>
      </w:r>
      <w:r>
        <w:fldChar w:fldCharType="end"/>
      </w:r>
    </w:p>
    <w:p w14:paraId="04AA73CA">
      <w:pPr>
        <w:pStyle w:val="11"/>
        <w:tabs>
          <w:tab w:val="right" w:leader="dot" w:pos="8300"/>
        </w:tabs>
        <w:spacing w:line="360" w:lineRule="auto"/>
      </w:pPr>
      <w:r>
        <w:fldChar w:fldCharType="begin"/>
      </w:r>
      <w:r>
        <w:instrText xml:space="preserve"> HYPERLINK \l "_Toc14237" </w:instrText>
      </w:r>
      <w:r>
        <w:fldChar w:fldCharType="separate"/>
      </w:r>
      <w:r>
        <w:rPr>
          <w:rFonts w:hint="eastAsia" w:ascii="方正仿宋_GB2312" w:hAnsi="方正仿宋_GB2312" w:eastAsia="方正仿宋_GB2312" w:cs="方正仿宋_GB2312"/>
          <w:bCs/>
          <w:kern w:val="0"/>
          <w:szCs w:val="28"/>
        </w:rPr>
        <w:t>（二）资产管理能力需加强</w:t>
      </w:r>
      <w:r>
        <w:tab/>
      </w:r>
      <w:r>
        <w:fldChar w:fldCharType="begin"/>
      </w:r>
      <w:r>
        <w:instrText xml:space="preserve"> PAGEREF _Toc14237 \h </w:instrText>
      </w:r>
      <w:r>
        <w:fldChar w:fldCharType="separate"/>
      </w:r>
      <w:r>
        <w:t>12</w:t>
      </w:r>
      <w:r>
        <w:fldChar w:fldCharType="end"/>
      </w:r>
      <w:r>
        <w:fldChar w:fldCharType="end"/>
      </w:r>
    </w:p>
    <w:p w14:paraId="1A28BB71">
      <w:pPr>
        <w:pStyle w:val="11"/>
        <w:tabs>
          <w:tab w:val="right" w:leader="dot" w:pos="8300"/>
        </w:tabs>
        <w:spacing w:line="360" w:lineRule="auto"/>
      </w:pPr>
      <w:r>
        <w:fldChar w:fldCharType="begin"/>
      </w:r>
      <w:r>
        <w:instrText xml:space="preserve"> HYPERLINK \l "_Toc30328" </w:instrText>
      </w:r>
      <w:r>
        <w:fldChar w:fldCharType="separate"/>
      </w:r>
      <w:r>
        <w:rPr>
          <w:rFonts w:hint="eastAsia" w:ascii="方正仿宋_GB2312" w:hAnsi="方正仿宋_GB2312" w:eastAsia="方正仿宋_GB2312" w:cs="方正仿宋_GB2312"/>
          <w:bCs/>
          <w:kern w:val="0"/>
          <w:szCs w:val="28"/>
        </w:rPr>
        <w:t>（三）单位人才队伍建设不完善</w:t>
      </w:r>
      <w:r>
        <w:tab/>
      </w:r>
      <w:r>
        <w:fldChar w:fldCharType="begin"/>
      </w:r>
      <w:r>
        <w:instrText xml:space="preserve"> PAGEREF _Toc30328 \h </w:instrText>
      </w:r>
      <w:r>
        <w:fldChar w:fldCharType="separate"/>
      </w:r>
      <w:r>
        <w:t>12</w:t>
      </w:r>
      <w:r>
        <w:fldChar w:fldCharType="end"/>
      </w:r>
      <w:r>
        <w:fldChar w:fldCharType="end"/>
      </w:r>
    </w:p>
    <w:p w14:paraId="27AB943A">
      <w:pPr>
        <w:pStyle w:val="10"/>
        <w:tabs>
          <w:tab w:val="right" w:leader="dot" w:pos="8300"/>
        </w:tabs>
        <w:spacing w:line="360" w:lineRule="auto"/>
      </w:pPr>
      <w:r>
        <w:fldChar w:fldCharType="begin"/>
      </w:r>
      <w:r>
        <w:instrText xml:space="preserve"> HYPERLINK \l "_Toc3680" </w:instrText>
      </w:r>
      <w:r>
        <w:fldChar w:fldCharType="separate"/>
      </w:r>
      <w:r>
        <w:rPr>
          <w:rFonts w:hint="eastAsia" w:ascii="方正仿宋_GB2312" w:hAnsi="方正仿宋_GB2312" w:eastAsia="方正仿宋_GB2312" w:cs="方正仿宋_GB2312"/>
          <w:bCs/>
          <w:kern w:val="0"/>
          <w:szCs w:val="28"/>
        </w:rPr>
        <w:t>五、有关建议</w:t>
      </w:r>
      <w:r>
        <w:tab/>
      </w:r>
      <w:r>
        <w:fldChar w:fldCharType="begin"/>
      </w:r>
      <w:r>
        <w:instrText xml:space="preserve"> PAGEREF _Toc3680 \h </w:instrText>
      </w:r>
      <w:r>
        <w:fldChar w:fldCharType="separate"/>
      </w:r>
      <w:r>
        <w:t>12</w:t>
      </w:r>
      <w:r>
        <w:fldChar w:fldCharType="end"/>
      </w:r>
      <w:r>
        <w:fldChar w:fldCharType="end"/>
      </w:r>
    </w:p>
    <w:p w14:paraId="7C62350E">
      <w:pPr>
        <w:pStyle w:val="11"/>
        <w:tabs>
          <w:tab w:val="right" w:leader="dot" w:pos="8300"/>
        </w:tabs>
        <w:spacing w:line="360" w:lineRule="auto"/>
      </w:pPr>
      <w:r>
        <w:fldChar w:fldCharType="begin"/>
      </w:r>
      <w:r>
        <w:instrText xml:space="preserve"> HYPERLINK \l "_Toc18606" </w:instrText>
      </w:r>
      <w:r>
        <w:fldChar w:fldCharType="separate"/>
      </w:r>
      <w:r>
        <w:rPr>
          <w:rFonts w:hint="eastAsia" w:ascii="方正仿宋_GB2312" w:hAnsi="方正仿宋_GB2312" w:eastAsia="方正仿宋_GB2312" w:cs="方正仿宋_GB2312"/>
          <w:bCs/>
          <w:kern w:val="0"/>
          <w:szCs w:val="28"/>
        </w:rPr>
        <w:t>（一）科学编制预算，强化预算执行监控</w:t>
      </w:r>
      <w:r>
        <w:tab/>
      </w:r>
      <w:r>
        <w:fldChar w:fldCharType="begin"/>
      </w:r>
      <w:r>
        <w:instrText xml:space="preserve"> PAGEREF _Toc18606 \h </w:instrText>
      </w:r>
      <w:r>
        <w:fldChar w:fldCharType="separate"/>
      </w:r>
      <w:r>
        <w:t>12</w:t>
      </w:r>
      <w:r>
        <w:fldChar w:fldCharType="end"/>
      </w:r>
      <w:r>
        <w:fldChar w:fldCharType="end"/>
      </w:r>
    </w:p>
    <w:p w14:paraId="5E9A5EEF">
      <w:pPr>
        <w:pStyle w:val="11"/>
        <w:tabs>
          <w:tab w:val="right" w:leader="dot" w:pos="8300"/>
        </w:tabs>
        <w:spacing w:line="360" w:lineRule="auto"/>
      </w:pPr>
      <w:r>
        <w:fldChar w:fldCharType="begin"/>
      </w:r>
      <w:r>
        <w:instrText xml:space="preserve"> HYPERLINK \l "_Toc21861" </w:instrText>
      </w:r>
      <w:r>
        <w:fldChar w:fldCharType="separate"/>
      </w:r>
      <w:r>
        <w:rPr>
          <w:rFonts w:hint="eastAsia" w:ascii="方正仿宋_GB2312" w:hAnsi="方正仿宋_GB2312" w:eastAsia="方正仿宋_GB2312" w:cs="方正仿宋_GB2312"/>
          <w:bCs/>
          <w:kern w:val="0"/>
          <w:szCs w:val="28"/>
        </w:rPr>
        <w:t>（二）建立长效机制，提高资产利用率</w:t>
      </w:r>
      <w:r>
        <w:tab/>
      </w:r>
      <w:r>
        <w:fldChar w:fldCharType="begin"/>
      </w:r>
      <w:r>
        <w:instrText xml:space="preserve"> PAGEREF _Toc21861 \h </w:instrText>
      </w:r>
      <w:r>
        <w:fldChar w:fldCharType="separate"/>
      </w:r>
      <w:r>
        <w:t>12</w:t>
      </w:r>
      <w:r>
        <w:fldChar w:fldCharType="end"/>
      </w:r>
      <w:r>
        <w:fldChar w:fldCharType="end"/>
      </w:r>
    </w:p>
    <w:p w14:paraId="6338D29C">
      <w:pPr>
        <w:pStyle w:val="11"/>
        <w:tabs>
          <w:tab w:val="right" w:leader="dot" w:pos="8300"/>
        </w:tabs>
        <w:spacing w:line="360" w:lineRule="auto"/>
      </w:pPr>
      <w:r>
        <w:fldChar w:fldCharType="begin"/>
      </w:r>
      <w:r>
        <w:instrText xml:space="preserve"> HYPERLINK \l "_Toc30537" </w:instrText>
      </w:r>
      <w:r>
        <w:fldChar w:fldCharType="separate"/>
      </w:r>
      <w:r>
        <w:rPr>
          <w:rFonts w:hint="eastAsia" w:ascii="方正仿宋_GB2312" w:hAnsi="方正仿宋_GB2312" w:eastAsia="方正仿宋_GB2312" w:cs="方正仿宋_GB2312"/>
          <w:bCs/>
          <w:kern w:val="0"/>
          <w:szCs w:val="28"/>
        </w:rPr>
        <w:t>（三）健全人才培养机制，加强人才队伍建设</w:t>
      </w:r>
      <w:r>
        <w:tab/>
      </w:r>
      <w:r>
        <w:fldChar w:fldCharType="begin"/>
      </w:r>
      <w:r>
        <w:instrText xml:space="preserve"> PAGEREF _Toc30537 \h </w:instrText>
      </w:r>
      <w:r>
        <w:fldChar w:fldCharType="separate"/>
      </w:r>
      <w:r>
        <w:t>13</w:t>
      </w:r>
      <w:r>
        <w:fldChar w:fldCharType="end"/>
      </w:r>
      <w:r>
        <w:fldChar w:fldCharType="end"/>
      </w:r>
    </w:p>
    <w:p w14:paraId="15F49812">
      <w:pPr>
        <w:pStyle w:val="10"/>
        <w:tabs>
          <w:tab w:val="right" w:leader="dot" w:pos="8300"/>
        </w:tabs>
        <w:spacing w:line="360" w:lineRule="auto"/>
      </w:pPr>
      <w:r>
        <w:fldChar w:fldCharType="begin"/>
      </w:r>
      <w:r>
        <w:instrText xml:space="preserve"> HYPERLINK \l "_Toc2224" </w:instrText>
      </w:r>
      <w:r>
        <w:fldChar w:fldCharType="separate"/>
      </w:r>
      <w:r>
        <w:rPr>
          <w:rFonts w:hint="eastAsia" w:ascii="方正仿宋_GB2312" w:hAnsi="方正仿宋_GB2312" w:eastAsia="方正仿宋_GB2312" w:cs="方正仿宋_GB2312"/>
          <w:bCs/>
          <w:kern w:val="0"/>
          <w:szCs w:val="28"/>
        </w:rPr>
        <w:t>六、评价工作开展情况及其他需说明的情况</w:t>
      </w:r>
      <w:r>
        <w:tab/>
      </w:r>
      <w:r>
        <w:fldChar w:fldCharType="begin"/>
      </w:r>
      <w:r>
        <w:instrText xml:space="preserve"> PAGEREF _Toc2224 \h </w:instrText>
      </w:r>
      <w:r>
        <w:fldChar w:fldCharType="separate"/>
      </w:r>
      <w:r>
        <w:t>13</w:t>
      </w:r>
      <w:r>
        <w:fldChar w:fldCharType="end"/>
      </w:r>
      <w:r>
        <w:fldChar w:fldCharType="end"/>
      </w:r>
    </w:p>
    <w:p w14:paraId="637AA581">
      <w:pPr>
        <w:pStyle w:val="11"/>
        <w:tabs>
          <w:tab w:val="right" w:leader="dot" w:pos="8300"/>
        </w:tabs>
        <w:spacing w:line="360" w:lineRule="auto"/>
      </w:pPr>
      <w:r>
        <w:fldChar w:fldCharType="begin"/>
      </w:r>
      <w:r>
        <w:instrText xml:space="preserve"> HYPERLINK \l "_Toc16821" </w:instrText>
      </w:r>
      <w:r>
        <w:fldChar w:fldCharType="separate"/>
      </w:r>
      <w:r>
        <w:rPr>
          <w:rFonts w:hint="eastAsia" w:ascii="方正仿宋_GB2312" w:hAnsi="方正仿宋_GB2312" w:eastAsia="方正仿宋_GB2312" w:cs="方正仿宋_GB2312"/>
          <w:bCs/>
          <w:kern w:val="0"/>
          <w:szCs w:val="28"/>
        </w:rPr>
        <w:t>（一）评价目的</w:t>
      </w:r>
      <w:r>
        <w:tab/>
      </w:r>
      <w:r>
        <w:fldChar w:fldCharType="begin"/>
      </w:r>
      <w:r>
        <w:instrText xml:space="preserve"> PAGEREF _Toc16821 \h </w:instrText>
      </w:r>
      <w:r>
        <w:fldChar w:fldCharType="separate"/>
      </w:r>
      <w:r>
        <w:t>13</w:t>
      </w:r>
      <w:r>
        <w:fldChar w:fldCharType="end"/>
      </w:r>
      <w:r>
        <w:fldChar w:fldCharType="end"/>
      </w:r>
    </w:p>
    <w:p w14:paraId="732C4431">
      <w:pPr>
        <w:pStyle w:val="11"/>
        <w:tabs>
          <w:tab w:val="right" w:leader="dot" w:pos="8300"/>
        </w:tabs>
        <w:spacing w:line="360" w:lineRule="auto"/>
      </w:pPr>
      <w:r>
        <w:fldChar w:fldCharType="begin"/>
      </w:r>
      <w:r>
        <w:instrText xml:space="preserve"> HYPERLINK \l "_Toc6056" </w:instrText>
      </w:r>
      <w:r>
        <w:fldChar w:fldCharType="separate"/>
      </w:r>
      <w:r>
        <w:rPr>
          <w:rFonts w:hint="eastAsia" w:ascii="方正仿宋_GB2312" w:hAnsi="方正仿宋_GB2312" w:eastAsia="方正仿宋_GB2312" w:cs="方正仿宋_GB2312"/>
          <w:bCs/>
          <w:kern w:val="0"/>
          <w:szCs w:val="28"/>
        </w:rPr>
        <w:t>（二）评价依据</w:t>
      </w:r>
      <w:r>
        <w:tab/>
      </w:r>
      <w:r>
        <w:fldChar w:fldCharType="begin"/>
      </w:r>
      <w:r>
        <w:instrText xml:space="preserve"> PAGEREF _Toc6056 \h </w:instrText>
      </w:r>
      <w:r>
        <w:fldChar w:fldCharType="separate"/>
      </w:r>
      <w:r>
        <w:t>14</w:t>
      </w:r>
      <w:r>
        <w:fldChar w:fldCharType="end"/>
      </w:r>
      <w:r>
        <w:fldChar w:fldCharType="end"/>
      </w:r>
    </w:p>
    <w:p w14:paraId="0440EF16">
      <w:pPr>
        <w:pStyle w:val="11"/>
        <w:tabs>
          <w:tab w:val="right" w:leader="dot" w:pos="8300"/>
        </w:tabs>
        <w:spacing w:line="360" w:lineRule="auto"/>
      </w:pPr>
      <w:r>
        <w:fldChar w:fldCharType="begin"/>
      </w:r>
      <w:r>
        <w:instrText xml:space="preserve"> HYPERLINK \l "_Toc30908" </w:instrText>
      </w:r>
      <w:r>
        <w:fldChar w:fldCharType="separate"/>
      </w:r>
      <w:r>
        <w:rPr>
          <w:rFonts w:hint="eastAsia" w:ascii="方正仿宋_GB2312" w:hAnsi="方正仿宋_GB2312" w:eastAsia="方正仿宋_GB2312" w:cs="方正仿宋_GB2312"/>
          <w:bCs/>
          <w:kern w:val="0"/>
          <w:szCs w:val="28"/>
        </w:rPr>
        <w:t>（三）评价原则</w:t>
      </w:r>
      <w:r>
        <w:tab/>
      </w:r>
      <w:r>
        <w:fldChar w:fldCharType="begin"/>
      </w:r>
      <w:r>
        <w:instrText xml:space="preserve"> PAGEREF _Toc30908 \h </w:instrText>
      </w:r>
      <w:r>
        <w:fldChar w:fldCharType="separate"/>
      </w:r>
      <w:r>
        <w:t>14</w:t>
      </w:r>
      <w:r>
        <w:fldChar w:fldCharType="end"/>
      </w:r>
      <w:r>
        <w:fldChar w:fldCharType="end"/>
      </w:r>
    </w:p>
    <w:p w14:paraId="4A20C608">
      <w:pPr>
        <w:pStyle w:val="11"/>
        <w:tabs>
          <w:tab w:val="right" w:leader="dot" w:pos="8300"/>
        </w:tabs>
        <w:spacing w:line="360" w:lineRule="auto"/>
      </w:pPr>
      <w:r>
        <w:fldChar w:fldCharType="begin"/>
      </w:r>
      <w:r>
        <w:instrText xml:space="preserve"> HYPERLINK \l "_Toc15080" </w:instrText>
      </w:r>
      <w:r>
        <w:fldChar w:fldCharType="separate"/>
      </w:r>
      <w:r>
        <w:rPr>
          <w:rFonts w:hint="eastAsia" w:ascii="方正仿宋_GB2312" w:hAnsi="方正仿宋_GB2312" w:eastAsia="方正仿宋_GB2312" w:cs="方正仿宋_GB2312"/>
          <w:bCs/>
          <w:kern w:val="0"/>
          <w:szCs w:val="28"/>
        </w:rPr>
        <w:t>（四）评价指标体系</w:t>
      </w:r>
      <w:r>
        <w:tab/>
      </w:r>
      <w:r>
        <w:fldChar w:fldCharType="begin"/>
      </w:r>
      <w:r>
        <w:instrText xml:space="preserve"> PAGEREF _Toc15080 \h </w:instrText>
      </w:r>
      <w:r>
        <w:fldChar w:fldCharType="separate"/>
      </w:r>
      <w:r>
        <w:t>14</w:t>
      </w:r>
      <w:r>
        <w:fldChar w:fldCharType="end"/>
      </w:r>
      <w:r>
        <w:fldChar w:fldCharType="end"/>
      </w:r>
    </w:p>
    <w:p w14:paraId="6659ECBB">
      <w:pPr>
        <w:pStyle w:val="11"/>
        <w:tabs>
          <w:tab w:val="right" w:leader="dot" w:pos="8300"/>
        </w:tabs>
        <w:spacing w:line="360" w:lineRule="auto"/>
      </w:pPr>
      <w:r>
        <w:fldChar w:fldCharType="begin"/>
      </w:r>
      <w:r>
        <w:instrText xml:space="preserve"> HYPERLINK \l "_Toc22944" </w:instrText>
      </w:r>
      <w:r>
        <w:fldChar w:fldCharType="separate"/>
      </w:r>
      <w:r>
        <w:rPr>
          <w:rFonts w:hint="eastAsia" w:ascii="方正仿宋_GB2312" w:hAnsi="方正仿宋_GB2312" w:eastAsia="方正仿宋_GB2312" w:cs="方正仿宋_GB2312"/>
          <w:szCs w:val="28"/>
        </w:rPr>
        <w:t>附件：《2024年度南京市节能技术服务中心部门整体绩效自评价表》</w:t>
      </w:r>
      <w:r>
        <w:tab/>
      </w:r>
      <w:r>
        <w:fldChar w:fldCharType="begin"/>
      </w:r>
      <w:r>
        <w:instrText xml:space="preserve"> PAGEREF _Toc22944 \h </w:instrText>
      </w:r>
      <w:r>
        <w:fldChar w:fldCharType="separate"/>
      </w:r>
      <w:r>
        <w:t>15</w:t>
      </w:r>
      <w:r>
        <w:fldChar w:fldCharType="end"/>
      </w:r>
      <w:r>
        <w:fldChar w:fldCharType="end"/>
      </w:r>
    </w:p>
    <w:p w14:paraId="22DBBB3F">
      <w:pPr>
        <w:spacing w:line="360" w:lineRule="auto"/>
        <w:rPr>
          <w:rStyle w:val="22"/>
          <w:rFonts w:hint="eastAsia" w:ascii="方正仿宋_GB2312" w:hAnsi="方正仿宋_GB2312" w:eastAsia="方正仿宋_GB2312" w:cs="方正仿宋_GB2312"/>
          <w:b/>
          <w:bCs/>
          <w:szCs w:val="21"/>
        </w:rPr>
        <w:sectPr>
          <w:footerReference r:id="rId4" w:type="default"/>
          <w:pgSz w:w="11906" w:h="16838"/>
          <w:pgMar w:top="1440" w:right="1803" w:bottom="1440" w:left="1803" w:header="851" w:footer="992" w:gutter="0"/>
          <w:pgNumType w:start="1"/>
          <w:cols w:space="0" w:num="1"/>
          <w:docGrid w:type="lines" w:linePitch="312" w:charSpace="0"/>
        </w:sectPr>
      </w:pPr>
      <w:r>
        <w:rPr>
          <w:rFonts w:hint="eastAsia" w:ascii="方正仿宋_GB2312" w:hAnsi="方正仿宋_GB2312" w:eastAsia="方正仿宋_GB2312" w:cs="方正仿宋_GB2312"/>
          <w:color w:val="000000"/>
          <w:szCs w:val="21"/>
          <w:lang w:val="zh-CN"/>
        </w:rPr>
        <w:fldChar w:fldCharType="end"/>
      </w:r>
    </w:p>
    <w:p w14:paraId="62AB1648">
      <w:pPr>
        <w:spacing w:line="560" w:lineRule="exact"/>
        <w:ind w:firstLine="560" w:firstLineChars="200"/>
        <w:rPr>
          <w:rFonts w:hint="eastAsia" w:ascii="方正仿宋_GB2312" w:hAnsi="方正仿宋_GB2312" w:eastAsia="方正仿宋_GB2312" w:cs="方正仿宋_GB2312"/>
          <w:bCs/>
          <w:color w:val="000000"/>
          <w:sz w:val="28"/>
          <w:szCs w:val="28"/>
        </w:rPr>
      </w:pPr>
      <w:bookmarkStart w:id="0" w:name="_Toc113465512"/>
      <w:r>
        <w:rPr>
          <w:rFonts w:hint="eastAsia" w:ascii="方正仿宋_GB2312" w:hAnsi="方正仿宋_GB2312" w:eastAsia="方正仿宋_GB2312" w:cs="方正仿宋_GB2312"/>
          <w:bCs/>
          <w:color w:val="000000"/>
          <w:sz w:val="28"/>
          <w:szCs w:val="28"/>
        </w:rPr>
        <w:t>为认真贯彻《中共中央 国务院关于全面实施预算绩效管理的意见》（中发〔2018〕34号），进一步提高预算透明度，强化社会监督，增进财政资金使用效率及效益，根据《南京市市级预算绩效管理办法》(宁委办厅字〔2024〕2号)、《关于开展2025年度预算绩效信息公开工作的通知》（宁财绩〔2025〕41号）《关于印发2025年南京市市级预算部门(单位)预算绩效管理责任清单的通知》（宁财绩〔2025〕106号）要求，通过前期准备、数据采集与核查、综合分析等阶段工作，结合2024年度绩效目标申报表，形成自评价指标体系得分情况表（详见附件），并对2024年度部门整体绩效自评价如下：</w:t>
      </w:r>
    </w:p>
    <w:p w14:paraId="5882C36A">
      <w:pPr>
        <w:spacing w:line="560" w:lineRule="exact"/>
        <w:ind w:firstLine="562" w:firstLineChars="200"/>
        <w:outlineLvl w:val="0"/>
        <w:rPr>
          <w:rFonts w:hint="eastAsia" w:ascii="方正仿宋_GB2312" w:hAnsi="方正仿宋_GB2312" w:eastAsia="方正仿宋_GB2312" w:cs="方正仿宋_GB2312"/>
          <w:b/>
          <w:bCs/>
          <w:color w:val="000000"/>
          <w:kern w:val="0"/>
          <w:sz w:val="28"/>
          <w:szCs w:val="28"/>
        </w:rPr>
      </w:pPr>
      <w:bookmarkStart w:id="1" w:name="_Toc4913"/>
      <w:r>
        <w:rPr>
          <w:rFonts w:hint="eastAsia" w:ascii="方正仿宋_GB2312" w:hAnsi="方正仿宋_GB2312" w:eastAsia="方正仿宋_GB2312" w:cs="方正仿宋_GB2312"/>
          <w:b/>
          <w:bCs/>
          <w:color w:val="000000"/>
          <w:kern w:val="0"/>
          <w:sz w:val="28"/>
          <w:szCs w:val="28"/>
        </w:rPr>
        <w:t>一、单位概况</w:t>
      </w:r>
      <w:bookmarkEnd w:id="0"/>
      <w:bookmarkEnd w:id="1"/>
    </w:p>
    <w:p w14:paraId="2B8F8BA1">
      <w:pPr>
        <w:spacing w:line="560" w:lineRule="exact"/>
        <w:ind w:firstLine="562" w:firstLineChars="200"/>
        <w:outlineLvl w:val="1"/>
        <w:rPr>
          <w:rFonts w:hint="eastAsia" w:ascii="方正仿宋_GB2312" w:hAnsi="方正仿宋_GB2312" w:eastAsia="方正仿宋_GB2312" w:cs="方正仿宋_GB2312"/>
          <w:b/>
          <w:bCs/>
          <w:sz w:val="28"/>
          <w:szCs w:val="28"/>
        </w:rPr>
      </w:pPr>
      <w:bookmarkStart w:id="2" w:name="_Toc113465513"/>
      <w:bookmarkStart w:id="3" w:name="_Toc21268"/>
      <w:r>
        <w:rPr>
          <w:rFonts w:hint="eastAsia" w:ascii="方正仿宋_GB2312" w:hAnsi="方正仿宋_GB2312" w:eastAsia="方正仿宋_GB2312" w:cs="方正仿宋_GB2312"/>
          <w:b/>
          <w:bCs/>
          <w:kern w:val="0"/>
          <w:sz w:val="28"/>
          <w:szCs w:val="28"/>
        </w:rPr>
        <w:t>（</w:t>
      </w:r>
      <w:r>
        <w:rPr>
          <w:rFonts w:hint="eastAsia" w:ascii="方正仿宋_GB2312" w:hAnsi="方正仿宋_GB2312" w:eastAsia="方正仿宋_GB2312" w:cs="方正仿宋_GB2312"/>
          <w:b/>
          <w:bCs/>
          <w:sz w:val="28"/>
          <w:szCs w:val="28"/>
        </w:rPr>
        <w:t>一）基本情况</w:t>
      </w:r>
      <w:bookmarkEnd w:id="2"/>
      <w:bookmarkEnd w:id="3"/>
    </w:p>
    <w:p w14:paraId="3CEC7C5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1.单位性质</w:t>
      </w:r>
    </w:p>
    <w:p w14:paraId="576A580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南京市节能技术服务中心，是南京市工业和信息化局直属差额拨款事业单位，为公益二类事业单位，主要履行开展用能单位节能技术服务职责。</w:t>
      </w:r>
    </w:p>
    <w:p w14:paraId="25BF5F75">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2.单位职责</w:t>
      </w:r>
      <w:r>
        <w:rPr>
          <w:rFonts w:hint="eastAsia" w:ascii="方正仿宋_GB2312" w:hAnsi="方正仿宋_GB2312" w:eastAsia="方正仿宋_GB2312" w:cs="方正仿宋_GB2312"/>
          <w:sz w:val="28"/>
          <w:szCs w:val="28"/>
        </w:rPr>
        <w:tab/>
      </w:r>
    </w:p>
    <w:p w14:paraId="39BDC25A">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南京市节能技术服务中心受行政机关委托，负责协助参与政策研究、规划编制和标准制定、节能技术服务、节能宣传、培训和技术推广等工作。主要职责如下：</w:t>
      </w:r>
    </w:p>
    <w:p w14:paraId="3FD5CF09">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（1）协助政府主管部门开展资（能）源节约、循环经济等战略、规划、法规和政策研究；</w:t>
      </w:r>
    </w:p>
    <w:p w14:paraId="08746C08">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（2）组织实施政府委托的节能、资源综合利用、新能源和可再生能源等领域示范工程和课题研究；</w:t>
      </w:r>
    </w:p>
    <w:p w14:paraId="756127A0">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（3）组织开展节能新技术、新产品和新机制推广；</w:t>
      </w:r>
    </w:p>
    <w:p w14:paraId="2B3A1239">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（4）组织开展节能宣传、培训及信息传播；</w:t>
      </w:r>
    </w:p>
    <w:p w14:paraId="6DD9DA2A">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（5）为企事业单位提供能源审计、清洁生产审核、节能诊断、能耗检测、燃料检测、建材产品废渣掺量检测、节能评估等的技术支持。</w:t>
      </w:r>
    </w:p>
    <w:p w14:paraId="599365B5">
      <w:pPr>
        <w:pStyle w:val="23"/>
        <w:tabs>
          <w:tab w:val="center" w:pos="4150"/>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3.内设机构</w:t>
      </w:r>
      <w:r>
        <w:rPr>
          <w:rFonts w:hint="eastAsia" w:ascii="方正仿宋_GB2312" w:hAnsi="方正仿宋_GB2312" w:eastAsia="方正仿宋_GB2312" w:cs="方正仿宋_GB2312"/>
          <w:sz w:val="28"/>
          <w:szCs w:val="28"/>
        </w:rPr>
        <w:tab/>
      </w:r>
    </w:p>
    <w:p w14:paraId="06B1B2B0">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中心下设办公室(培训部、信息传播部)、技术服务部、检测部、审核部(总师办、市场开发部)四个部门。</w:t>
      </w:r>
    </w:p>
    <w:p w14:paraId="6A20CCEC">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4.人员构成情况</w:t>
      </w:r>
    </w:p>
    <w:p w14:paraId="0762626A">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本年度，共有在职人员35人，其中在编人员26人，编外辅助员额9人。</w:t>
      </w:r>
    </w:p>
    <w:p w14:paraId="64662677">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5.中心资产、负债情况及固定资产情况</w:t>
      </w:r>
    </w:p>
    <w:p w14:paraId="3DDE98A5">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2024年末资产总额6,729.49万元；负债总额68.18万元；净资产总额6,661.31万元。</w:t>
      </w:r>
    </w:p>
    <w:p w14:paraId="1F92BD9F">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2024年末固定资产原值为2,949.04万元,累计折旧2,101.30万元，固定资产净值847.74万元。</w:t>
      </w:r>
    </w:p>
    <w:p w14:paraId="5B8141C5">
      <w:pPr>
        <w:tabs>
          <w:tab w:val="left" w:pos="624"/>
          <w:tab w:val="left" w:pos="669"/>
        </w:tabs>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6.重点工作任务</w:t>
      </w:r>
    </w:p>
    <w:p w14:paraId="08C50793">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2024年度重点工作任务包括：（1）协助节能主管部门</w:t>
      </w:r>
      <w:r>
        <w:rPr>
          <w:rFonts w:hint="eastAsia" w:ascii="方正仿宋_GB2312" w:hAnsi="方正仿宋_GB2312" w:eastAsia="方正仿宋_GB2312" w:cs="方正仿宋_GB2312"/>
          <w:sz w:val="28"/>
          <w:szCs w:val="28"/>
          <w:highlight w:val="none"/>
        </w:rPr>
        <w:t>开展节能低碳政策、标准等研究并全力做好固定资产投资项目节能评审和重点用能单位能效水平评估；（2）为用能单位提供节能诊断、能源审计</w:t>
      </w:r>
      <w:r>
        <w:rPr>
          <w:rFonts w:hint="eastAsia" w:ascii="方正仿宋_GB2312" w:hAnsi="方正仿宋_GB2312" w:eastAsia="方正仿宋_GB2312" w:cs="方正仿宋_GB2312"/>
          <w:sz w:val="28"/>
          <w:szCs w:val="28"/>
        </w:rPr>
        <w:t>等技术支持，协助用能单位（园区）创建绿色工厂（绿色产品、绿色供应链、绿色园区）；（3）节能宣传周期间，围绕“六个一”开展系列节能宣传活动；日常借助期刊、网站等载体开展节能公益宣传；（4）对全市用能单位能管人员开展节能业务培训；（5）组织节能技术解决方案供应商和用能单位开展供需对接活动，推广节能新技术和新产品。</w:t>
      </w:r>
    </w:p>
    <w:p w14:paraId="09C04030">
      <w:pPr>
        <w:spacing w:line="560" w:lineRule="exact"/>
        <w:ind w:firstLine="562" w:firstLineChars="200"/>
        <w:outlineLvl w:val="1"/>
        <w:rPr>
          <w:rFonts w:hint="eastAsia" w:ascii="方正仿宋_GB2312" w:hAnsi="方正仿宋_GB2312" w:eastAsia="方正仿宋_GB2312" w:cs="方正仿宋_GB2312"/>
          <w:b/>
          <w:bCs/>
          <w:sz w:val="28"/>
          <w:szCs w:val="28"/>
        </w:rPr>
      </w:pPr>
      <w:bookmarkStart w:id="4" w:name="_Toc16041"/>
      <w:bookmarkStart w:id="5" w:name="_Toc113465514"/>
      <w:r>
        <w:rPr>
          <w:rFonts w:hint="eastAsia" w:ascii="方正仿宋_GB2312" w:hAnsi="方正仿宋_GB2312" w:eastAsia="方正仿宋_GB2312" w:cs="方正仿宋_GB2312"/>
          <w:b/>
          <w:bCs/>
          <w:kern w:val="0"/>
          <w:sz w:val="28"/>
          <w:szCs w:val="28"/>
        </w:rPr>
        <w:t>（二</w:t>
      </w:r>
      <w:r>
        <w:rPr>
          <w:rFonts w:hint="eastAsia" w:ascii="方正仿宋_GB2312" w:hAnsi="方正仿宋_GB2312" w:eastAsia="方正仿宋_GB2312" w:cs="方正仿宋_GB2312"/>
          <w:b/>
          <w:bCs/>
          <w:sz w:val="28"/>
          <w:szCs w:val="28"/>
        </w:rPr>
        <w:t>）单位资金情况</w:t>
      </w:r>
      <w:bookmarkEnd w:id="4"/>
    </w:p>
    <w:bookmarkEnd w:id="5"/>
    <w:p w14:paraId="2F6B243D">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1.部门收支情况</w:t>
      </w:r>
    </w:p>
    <w:p w14:paraId="3C5A17D8">
      <w:pPr>
        <w:adjustRightInd w:val="0"/>
        <w:snapToGrid w:val="0"/>
        <w:spacing w:line="56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sz w:val="28"/>
          <w:szCs w:val="28"/>
        </w:rPr>
        <w:t>2024年，中心收入预算数1,436.09万元，预算调整数357.01万元，决算数1,793.10万元；支出预算数1,436.09万元，预算调整数213.58万元,决算数1,649.67万元，结余分配11.20万元；上年结转和结余4,203.68万元，年末结转和结余4,335.91万元；预算执行率为100%。</w:t>
      </w:r>
      <w:r>
        <w:rPr>
          <w:rFonts w:hint="eastAsia" w:ascii="方正仿宋_GB2312" w:hAnsi="方正仿宋_GB2312" w:eastAsia="方正仿宋_GB2312" w:cs="方正仿宋_GB2312"/>
          <w:color w:val="000000"/>
          <w:sz w:val="28"/>
          <w:szCs w:val="28"/>
        </w:rPr>
        <w:t>详情见表1。</w:t>
      </w:r>
    </w:p>
    <w:p w14:paraId="67519195">
      <w:pPr>
        <w:spacing w:line="560" w:lineRule="exact"/>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表1  2024年节能中心预算安排与支出情况</w:t>
      </w:r>
    </w:p>
    <w:p w14:paraId="3F4AF259">
      <w:pPr>
        <w:spacing w:line="560" w:lineRule="exact"/>
        <w:ind w:right="633"/>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b/>
          <w:color w:val="000000"/>
          <w:sz w:val="24"/>
        </w:rPr>
        <w:t xml:space="preserve">  </w:t>
      </w:r>
      <w:r>
        <w:rPr>
          <w:rFonts w:hint="eastAsia" w:ascii="方正仿宋_GB2312" w:hAnsi="方正仿宋_GB2312" w:eastAsia="方正仿宋_GB2312" w:cs="方正仿宋_GB2312"/>
          <w:color w:val="000000"/>
          <w:sz w:val="24"/>
        </w:rPr>
        <w:t xml:space="preserve"> 单位：万元</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932"/>
        <w:gridCol w:w="1872"/>
        <w:gridCol w:w="1616"/>
        <w:gridCol w:w="1783"/>
      </w:tblGrid>
      <w:tr w14:paraId="102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blHeader/>
          <w:jc w:val="center"/>
        </w:trPr>
        <w:tc>
          <w:tcPr>
            <w:tcW w:w="773" w:type="pct"/>
            <w:noWrap/>
            <w:vAlign w:val="center"/>
          </w:tcPr>
          <w:p w14:paraId="3940056B">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支出类别</w:t>
            </w:r>
          </w:p>
        </w:tc>
        <w:tc>
          <w:tcPr>
            <w:tcW w:w="1136" w:type="pct"/>
            <w:noWrap/>
            <w:vAlign w:val="center"/>
          </w:tcPr>
          <w:p w14:paraId="681C9F7A">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年初预算数</w:t>
            </w:r>
          </w:p>
        </w:tc>
        <w:tc>
          <w:tcPr>
            <w:tcW w:w="1101" w:type="pct"/>
            <w:noWrap/>
            <w:vAlign w:val="center"/>
          </w:tcPr>
          <w:p w14:paraId="2D1F01B5">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调整后预算数</w:t>
            </w:r>
          </w:p>
        </w:tc>
        <w:tc>
          <w:tcPr>
            <w:tcW w:w="939" w:type="pct"/>
            <w:noWrap/>
            <w:vAlign w:val="center"/>
          </w:tcPr>
          <w:p w14:paraId="1991564C">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实际支出数</w:t>
            </w:r>
          </w:p>
        </w:tc>
        <w:tc>
          <w:tcPr>
            <w:tcW w:w="1049" w:type="pct"/>
            <w:noWrap/>
            <w:vAlign w:val="center"/>
          </w:tcPr>
          <w:p w14:paraId="77A85768">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预算执行率</w:t>
            </w:r>
          </w:p>
        </w:tc>
      </w:tr>
      <w:tr w14:paraId="0D4D2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73" w:type="pct"/>
            <w:noWrap/>
            <w:vAlign w:val="center"/>
          </w:tcPr>
          <w:p w14:paraId="53C16BD5">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基本支出</w:t>
            </w:r>
          </w:p>
        </w:tc>
        <w:tc>
          <w:tcPr>
            <w:tcW w:w="1136" w:type="pct"/>
            <w:noWrap/>
            <w:vAlign w:val="center"/>
          </w:tcPr>
          <w:p w14:paraId="3E52AB30">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1,435.53 </w:t>
            </w:r>
          </w:p>
        </w:tc>
        <w:tc>
          <w:tcPr>
            <w:tcW w:w="1101" w:type="pct"/>
            <w:noWrap/>
          </w:tcPr>
          <w:p w14:paraId="047E1DFE">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1,647.60 </w:t>
            </w:r>
          </w:p>
        </w:tc>
        <w:tc>
          <w:tcPr>
            <w:tcW w:w="1616" w:type="dxa"/>
            <w:noWrap/>
          </w:tcPr>
          <w:p w14:paraId="75514CAC">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1,647.60 </w:t>
            </w:r>
          </w:p>
        </w:tc>
        <w:tc>
          <w:tcPr>
            <w:tcW w:w="1049" w:type="pct"/>
            <w:noWrap/>
          </w:tcPr>
          <w:p w14:paraId="4AF7538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7CF2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73" w:type="pct"/>
            <w:noWrap/>
            <w:vAlign w:val="center"/>
          </w:tcPr>
          <w:p w14:paraId="63B04B04">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项目支出</w:t>
            </w:r>
          </w:p>
        </w:tc>
        <w:tc>
          <w:tcPr>
            <w:tcW w:w="1136" w:type="pct"/>
            <w:noWrap/>
            <w:vAlign w:val="center"/>
          </w:tcPr>
          <w:p w14:paraId="7D3AC9F7">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0.56 </w:t>
            </w:r>
          </w:p>
        </w:tc>
        <w:tc>
          <w:tcPr>
            <w:tcW w:w="1101" w:type="pct"/>
            <w:noWrap/>
          </w:tcPr>
          <w:p w14:paraId="5363100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2.07 </w:t>
            </w:r>
          </w:p>
        </w:tc>
        <w:tc>
          <w:tcPr>
            <w:tcW w:w="1616" w:type="dxa"/>
            <w:noWrap/>
          </w:tcPr>
          <w:p w14:paraId="1A6B9E5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2.07 </w:t>
            </w:r>
          </w:p>
        </w:tc>
        <w:tc>
          <w:tcPr>
            <w:tcW w:w="1049" w:type="pct"/>
            <w:noWrap/>
          </w:tcPr>
          <w:p w14:paraId="2DA70EE2">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5B24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3" w:type="pct"/>
            <w:vAlign w:val="center"/>
          </w:tcPr>
          <w:p w14:paraId="066F4F48">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合计</w:t>
            </w:r>
          </w:p>
        </w:tc>
        <w:tc>
          <w:tcPr>
            <w:tcW w:w="1136" w:type="pct"/>
            <w:noWrap/>
          </w:tcPr>
          <w:p w14:paraId="7741411D">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1,436.09 </w:t>
            </w:r>
          </w:p>
        </w:tc>
        <w:tc>
          <w:tcPr>
            <w:tcW w:w="1101" w:type="pct"/>
            <w:noWrap/>
          </w:tcPr>
          <w:p w14:paraId="1D6BEC13">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1,649.67 </w:t>
            </w:r>
          </w:p>
        </w:tc>
        <w:tc>
          <w:tcPr>
            <w:tcW w:w="1616" w:type="dxa"/>
            <w:noWrap/>
          </w:tcPr>
          <w:p w14:paraId="504C562A">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1,649.67 </w:t>
            </w:r>
          </w:p>
        </w:tc>
        <w:tc>
          <w:tcPr>
            <w:tcW w:w="1049" w:type="pct"/>
            <w:noWrap/>
          </w:tcPr>
          <w:p w14:paraId="1B926B1E">
            <w:pPr>
              <w:widowControl/>
              <w:jc w:val="right"/>
              <w:textAlignment w:val="top"/>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bl>
    <w:p w14:paraId="130312CF">
      <w:pPr>
        <w:spacing w:line="560" w:lineRule="exact"/>
        <w:ind w:firstLine="560" w:firstLineChars="200"/>
        <w:rPr>
          <w:rFonts w:hint="eastAsia" w:ascii="方正仿宋_GB2312" w:hAnsi="方正仿宋_GB2312" w:eastAsia="方正仿宋_GB2312" w:cs="方正仿宋_GB2312"/>
          <w:color w:val="000000"/>
          <w:kern w:val="0"/>
          <w:sz w:val="28"/>
          <w:szCs w:val="28"/>
        </w:rPr>
      </w:pPr>
      <w:r>
        <w:rPr>
          <w:rFonts w:hint="eastAsia" w:ascii="方正仿宋_GB2312" w:hAnsi="方正仿宋_GB2312" w:eastAsia="方正仿宋_GB2312" w:cs="方正仿宋_GB2312"/>
          <w:sz w:val="28"/>
          <w:szCs w:val="28"/>
        </w:rPr>
        <w:t>2.“</w:t>
      </w:r>
      <w:r>
        <w:rPr>
          <w:rFonts w:hint="eastAsia" w:ascii="方正仿宋_GB2312" w:hAnsi="方正仿宋_GB2312" w:eastAsia="方正仿宋_GB2312" w:cs="方正仿宋_GB2312"/>
          <w:color w:val="000000"/>
          <w:kern w:val="0"/>
          <w:sz w:val="28"/>
          <w:szCs w:val="28"/>
        </w:rPr>
        <w:t>三公</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color w:val="000000"/>
          <w:kern w:val="0"/>
          <w:sz w:val="28"/>
          <w:szCs w:val="28"/>
        </w:rPr>
        <w:t>经费情况</w:t>
      </w:r>
    </w:p>
    <w:p w14:paraId="77F538C8">
      <w:pPr>
        <w:pStyle w:val="21"/>
        <w:widowControl w:val="0"/>
        <w:adjustRightInd w:val="0"/>
        <w:snapToGrid w:val="0"/>
        <w:spacing w:line="56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2024年节能中心“三公”经费预算安排3.24万元</w:t>
      </w:r>
      <w:r>
        <w:rPr>
          <w:rFonts w:hint="eastAsia" w:ascii="方正仿宋_GB2312" w:hAnsi="方正仿宋_GB2312" w:eastAsia="方正仿宋_GB2312" w:cs="方正仿宋_GB2312"/>
          <w:sz w:val="28"/>
          <w:szCs w:val="28"/>
        </w:rPr>
        <w:t>、调减1.06万元，</w:t>
      </w:r>
      <w:r>
        <w:rPr>
          <w:rFonts w:hint="eastAsia" w:ascii="方正仿宋_GB2312" w:hAnsi="方正仿宋_GB2312" w:eastAsia="方正仿宋_GB2312" w:cs="方正仿宋_GB2312"/>
          <w:color w:val="000000"/>
          <w:sz w:val="28"/>
          <w:szCs w:val="28"/>
        </w:rPr>
        <w:t>主要原因是公务接待费较预算少0.92万元，无因公出国（境）费支出，决算支出数2.26</w:t>
      </w:r>
      <w:r>
        <w:rPr>
          <w:rFonts w:hint="eastAsia" w:ascii="方正仿宋_GB2312" w:hAnsi="方正仿宋_GB2312" w:eastAsia="方正仿宋_GB2312" w:cs="方正仿宋_GB2312"/>
          <w:sz w:val="28"/>
          <w:szCs w:val="28"/>
        </w:rPr>
        <w:t>万元</w:t>
      </w:r>
      <w:r>
        <w:rPr>
          <w:rFonts w:hint="eastAsia" w:ascii="方正仿宋_GB2312" w:hAnsi="方正仿宋_GB2312" w:eastAsia="方正仿宋_GB2312" w:cs="方正仿宋_GB2312"/>
          <w:color w:val="000000"/>
          <w:sz w:val="28"/>
          <w:szCs w:val="28"/>
        </w:rPr>
        <w:t>、预算执行率为100.00%。详情见表2</w:t>
      </w:r>
    </w:p>
    <w:p w14:paraId="15904998">
      <w:pPr>
        <w:spacing w:line="560" w:lineRule="exact"/>
        <w:jc w:val="center"/>
        <w:rPr>
          <w:rFonts w:hint="eastAsia" w:ascii="方正仿宋_GB2312" w:hAnsi="方正仿宋_GB2312" w:eastAsia="方正仿宋_GB2312" w:cs="方正仿宋_GB2312"/>
          <w:b/>
          <w:color w:val="000000"/>
          <w:sz w:val="28"/>
          <w:szCs w:val="28"/>
        </w:rPr>
      </w:pPr>
      <w:r>
        <w:rPr>
          <w:rFonts w:hint="eastAsia" w:ascii="方正仿宋_GB2312" w:hAnsi="方正仿宋_GB2312" w:eastAsia="方正仿宋_GB2312" w:cs="方正仿宋_GB2312"/>
          <w:b/>
          <w:color w:val="000000"/>
          <w:sz w:val="28"/>
          <w:szCs w:val="28"/>
        </w:rPr>
        <w:t>表2  2024年节能中心“三公”经费情况</w:t>
      </w:r>
    </w:p>
    <w:p w14:paraId="5B640649">
      <w:pPr>
        <w:jc w:val="righ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color w:val="000000"/>
          <w:sz w:val="24"/>
        </w:rPr>
        <w:t>单位：万元</w:t>
      </w:r>
    </w:p>
    <w:tbl>
      <w:tblPr>
        <w:tblStyle w:val="15"/>
        <w:tblW w:w="4998" w:type="pct"/>
        <w:tblInd w:w="0" w:type="dxa"/>
        <w:tblLayout w:type="autofit"/>
        <w:tblCellMar>
          <w:top w:w="0" w:type="dxa"/>
          <w:left w:w="108" w:type="dxa"/>
          <w:bottom w:w="0" w:type="dxa"/>
          <w:right w:w="108" w:type="dxa"/>
        </w:tblCellMar>
      </w:tblPr>
      <w:tblGrid>
        <w:gridCol w:w="3096"/>
        <w:gridCol w:w="1416"/>
        <w:gridCol w:w="1656"/>
        <w:gridCol w:w="1153"/>
        <w:gridCol w:w="1192"/>
      </w:tblGrid>
      <w:tr w14:paraId="56F68E17">
        <w:tblPrEx>
          <w:tblCellMar>
            <w:top w:w="0" w:type="dxa"/>
            <w:left w:w="108" w:type="dxa"/>
            <w:bottom w:w="0" w:type="dxa"/>
            <w:right w:w="108" w:type="dxa"/>
          </w:tblCellMar>
        </w:tblPrEx>
        <w:trPr>
          <w:trHeight w:val="280" w:hRule="atLeast"/>
          <w:tblHeader/>
        </w:trPr>
        <w:tc>
          <w:tcPr>
            <w:tcW w:w="1818" w:type="pct"/>
            <w:tcBorders>
              <w:top w:val="single" w:color="000000" w:sz="4" w:space="0"/>
              <w:left w:val="single" w:color="000000" w:sz="4" w:space="0"/>
              <w:bottom w:val="single" w:color="000000" w:sz="4" w:space="0"/>
              <w:right w:val="single" w:color="000000" w:sz="4" w:space="0"/>
            </w:tcBorders>
            <w:noWrap/>
            <w:vAlign w:val="center"/>
          </w:tcPr>
          <w:p w14:paraId="275215F5">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项目</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3212003">
            <w:pPr>
              <w:jc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年初预算数</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8D5DBEB">
            <w:pPr>
              <w:jc w:val="center"/>
              <w:rPr>
                <w:rFonts w:hint="eastAsia" w:ascii="方正仿宋_GB2312" w:hAnsi="方正仿宋_GB2312" w:eastAsia="方正仿宋_GB2312" w:cs="方正仿宋_GB2312"/>
                <w:color w:val="000000"/>
                <w:kern w:val="0"/>
                <w:sz w:val="24"/>
                <w:lang w:bidi="ar"/>
              </w:rPr>
            </w:pPr>
            <w:r>
              <w:rPr>
                <w:rFonts w:hint="eastAsia" w:ascii="方正仿宋_GB2312" w:hAnsi="方正仿宋_GB2312" w:eastAsia="方正仿宋_GB2312" w:cs="方正仿宋_GB2312"/>
                <w:color w:val="000000"/>
                <w:sz w:val="24"/>
              </w:rPr>
              <w:t>调整后预算数</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F62B57D">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决算数</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8D964A3">
            <w:pPr>
              <w:widowControl/>
              <w:jc w:val="center"/>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执行率</w:t>
            </w:r>
          </w:p>
        </w:tc>
      </w:tr>
      <w:tr w14:paraId="112971A3">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BB5F021">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公务用车购置及运行维护费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DCA11C9">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6C18FFCB">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1619FC4B">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7DF0924C">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6BAF2FA7">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7DF92FC9">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其中：公务用车购置费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BAB2D5A">
            <w:pPr>
              <w:rPr>
                <w:rFonts w:hint="eastAsia" w:ascii="方正仿宋_GB2312" w:hAnsi="方正仿宋_GB2312" w:eastAsia="方正仿宋_GB2312" w:cs="方正仿宋_GB2312"/>
                <w:color w:val="000000"/>
                <w:sz w:val="24"/>
              </w:rPr>
            </w:pP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0F7AEEF">
            <w:pPr>
              <w:rPr>
                <w:rFonts w:hint="eastAsia" w:ascii="方正仿宋_GB2312" w:hAnsi="方正仿宋_GB2312" w:eastAsia="方正仿宋_GB2312" w:cs="方正仿宋_GB2312"/>
                <w:color w:val="000000"/>
                <w:sz w:val="24"/>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48FEED7A">
            <w:pPr>
              <w:rPr>
                <w:rFonts w:hint="eastAsia" w:ascii="方正仿宋_GB2312" w:hAnsi="方正仿宋_GB2312" w:eastAsia="方正仿宋_GB2312" w:cs="方正仿宋_GB2312"/>
                <w:color w:val="000000"/>
                <w:sz w:val="24"/>
              </w:rPr>
            </w:pP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76E93550">
            <w:pPr>
              <w:rPr>
                <w:rFonts w:hint="eastAsia" w:ascii="方正仿宋_GB2312" w:hAnsi="方正仿宋_GB2312" w:eastAsia="方正仿宋_GB2312" w:cs="方正仿宋_GB2312"/>
                <w:color w:val="000000"/>
                <w:sz w:val="24"/>
              </w:rPr>
            </w:pPr>
          </w:p>
        </w:tc>
      </w:tr>
      <w:tr w14:paraId="61ADD622">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3AC40198">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 xml:space="preserve">      公务用车运行维护费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0C7DFBAA">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582C5B42">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8B5DD27">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2.18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33F1E368">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r w14:paraId="3FF59BCB">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64FCCFE2">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公务接待费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51C002C4">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1.00</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4E370819">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0.08</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303E7A54">
            <w:pPr>
              <w:jc w:val="right"/>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0.08</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67E7BAC9">
            <w:pPr>
              <w:rPr>
                <w:rFonts w:hint="eastAsia" w:ascii="方正仿宋_GB2312" w:hAnsi="方正仿宋_GB2312" w:eastAsia="方正仿宋_GB2312" w:cs="方正仿宋_GB2312"/>
                <w:color w:val="000000"/>
                <w:sz w:val="24"/>
              </w:rPr>
            </w:pPr>
          </w:p>
        </w:tc>
      </w:tr>
      <w:tr w14:paraId="083DFAA4">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C668E5E">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sz w:val="24"/>
              </w:rPr>
              <w:t>因公出国（境）费</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15707AE7">
            <w:pPr>
              <w:widowControl/>
              <w:jc w:val="right"/>
              <w:textAlignment w:val="center"/>
              <w:rPr>
                <w:rFonts w:hint="eastAsia" w:ascii="方正仿宋_GB2312" w:hAnsi="方正仿宋_GB2312" w:eastAsia="方正仿宋_GB2312" w:cs="方正仿宋_GB2312"/>
                <w:color w:val="000000"/>
                <w:sz w:val="24"/>
              </w:rPr>
            </w:pP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17279FBA">
            <w:pPr>
              <w:widowControl/>
              <w:jc w:val="right"/>
              <w:textAlignment w:val="center"/>
              <w:rPr>
                <w:rFonts w:hint="eastAsia" w:ascii="方正仿宋_GB2312" w:hAnsi="方正仿宋_GB2312" w:eastAsia="方正仿宋_GB2312" w:cs="方正仿宋_GB2312"/>
                <w:color w:val="000000"/>
                <w:sz w:val="24"/>
              </w:rPr>
            </w:pP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662751B3">
            <w:pPr>
              <w:widowControl/>
              <w:jc w:val="right"/>
              <w:textAlignment w:val="center"/>
              <w:rPr>
                <w:rFonts w:hint="eastAsia" w:ascii="方正仿宋_GB2312" w:hAnsi="方正仿宋_GB2312" w:eastAsia="方正仿宋_GB2312" w:cs="方正仿宋_GB2312"/>
                <w:color w:val="000000"/>
                <w:sz w:val="24"/>
              </w:rPr>
            </w:pP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0D762389">
            <w:pPr>
              <w:rPr>
                <w:rFonts w:hint="eastAsia" w:ascii="方正仿宋_GB2312" w:hAnsi="方正仿宋_GB2312" w:eastAsia="方正仿宋_GB2312" w:cs="方正仿宋_GB2312"/>
                <w:color w:val="000000"/>
                <w:sz w:val="24"/>
              </w:rPr>
            </w:pPr>
          </w:p>
        </w:tc>
      </w:tr>
      <w:tr w14:paraId="3684D1A5">
        <w:tblPrEx>
          <w:tblCellMar>
            <w:top w:w="0" w:type="dxa"/>
            <w:left w:w="108" w:type="dxa"/>
            <w:bottom w:w="0" w:type="dxa"/>
            <w:right w:w="108" w:type="dxa"/>
          </w:tblCellMar>
        </w:tblPrEx>
        <w:trPr>
          <w:trHeight w:val="280" w:hRule="atLeast"/>
        </w:trPr>
        <w:tc>
          <w:tcPr>
            <w:tcW w:w="1818" w:type="pct"/>
            <w:tcBorders>
              <w:top w:val="single" w:color="000000" w:sz="4" w:space="0"/>
              <w:left w:val="single" w:color="000000" w:sz="4" w:space="0"/>
              <w:bottom w:val="single" w:color="000000" w:sz="4" w:space="0"/>
              <w:right w:val="single" w:color="000000" w:sz="4" w:space="0"/>
            </w:tcBorders>
            <w:noWrap/>
            <w:vAlign w:val="center"/>
          </w:tcPr>
          <w:p w14:paraId="4CC51E13">
            <w:pPr>
              <w:widowControl/>
              <w:jc w:val="lef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合计</w:t>
            </w:r>
          </w:p>
        </w:tc>
        <w:tc>
          <w:tcPr>
            <w:tcW w:w="831" w:type="pct"/>
            <w:tcBorders>
              <w:top w:val="single" w:color="000000" w:sz="4" w:space="0"/>
              <w:left w:val="single" w:color="000000" w:sz="4" w:space="0"/>
              <w:bottom w:val="single" w:color="000000" w:sz="4" w:space="0"/>
              <w:right w:val="single" w:color="000000" w:sz="4" w:space="0"/>
            </w:tcBorders>
            <w:noWrap/>
            <w:vAlign w:val="center"/>
          </w:tcPr>
          <w:p w14:paraId="411F9718">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3.24</w:t>
            </w:r>
          </w:p>
        </w:tc>
        <w:tc>
          <w:tcPr>
            <w:tcW w:w="972" w:type="pct"/>
            <w:tcBorders>
              <w:top w:val="single" w:color="000000" w:sz="4" w:space="0"/>
              <w:left w:val="single" w:color="000000" w:sz="4" w:space="0"/>
              <w:bottom w:val="single" w:color="000000" w:sz="4" w:space="0"/>
              <w:right w:val="single" w:color="000000" w:sz="4" w:space="0"/>
            </w:tcBorders>
            <w:noWrap/>
            <w:vAlign w:val="center"/>
          </w:tcPr>
          <w:p w14:paraId="73F4458A">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2.26</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7D1CA675">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2.26</w:t>
            </w:r>
          </w:p>
        </w:tc>
        <w:tc>
          <w:tcPr>
            <w:tcW w:w="700" w:type="pct"/>
            <w:tcBorders>
              <w:top w:val="single" w:color="000000" w:sz="4" w:space="0"/>
              <w:left w:val="single" w:color="000000" w:sz="4" w:space="0"/>
              <w:bottom w:val="single" w:color="000000" w:sz="4" w:space="0"/>
              <w:right w:val="single" w:color="000000" w:sz="4" w:space="0"/>
            </w:tcBorders>
            <w:noWrap/>
            <w:vAlign w:val="center"/>
          </w:tcPr>
          <w:p w14:paraId="4F2AC2ED">
            <w:pPr>
              <w:widowControl/>
              <w:jc w:val="right"/>
              <w:textAlignment w:val="center"/>
              <w:rPr>
                <w:rFonts w:hint="eastAsia" w:ascii="方正仿宋_GB2312" w:hAnsi="方正仿宋_GB2312" w:eastAsia="方正仿宋_GB2312" w:cs="方正仿宋_GB2312"/>
                <w:color w:val="000000"/>
                <w:sz w:val="24"/>
              </w:rPr>
            </w:pPr>
            <w:r>
              <w:rPr>
                <w:rFonts w:hint="eastAsia" w:ascii="方正仿宋_GB2312" w:hAnsi="方正仿宋_GB2312" w:eastAsia="方正仿宋_GB2312" w:cs="方正仿宋_GB2312"/>
                <w:color w:val="000000"/>
                <w:kern w:val="0"/>
                <w:sz w:val="24"/>
                <w:lang w:bidi="ar"/>
              </w:rPr>
              <w:t>100.00%</w:t>
            </w:r>
          </w:p>
        </w:tc>
      </w:tr>
    </w:tbl>
    <w:p w14:paraId="206B6EBA">
      <w:pPr>
        <w:spacing w:line="560" w:lineRule="exact"/>
        <w:ind w:firstLine="562" w:firstLineChars="200"/>
        <w:outlineLvl w:val="0"/>
        <w:rPr>
          <w:rFonts w:hint="eastAsia" w:ascii="方正仿宋_GB2312" w:hAnsi="方正仿宋_GB2312" w:eastAsia="方正仿宋_GB2312" w:cs="方正仿宋_GB2312"/>
          <w:b/>
          <w:bCs/>
          <w:sz w:val="28"/>
          <w:szCs w:val="28"/>
        </w:rPr>
      </w:pPr>
      <w:bookmarkStart w:id="6" w:name="_Toc10526"/>
      <w:bookmarkStart w:id="7" w:name="_Toc113465515"/>
      <w:r>
        <w:rPr>
          <w:rFonts w:hint="eastAsia" w:ascii="方正仿宋_GB2312" w:hAnsi="方正仿宋_GB2312" w:eastAsia="方正仿宋_GB2312" w:cs="方正仿宋_GB2312"/>
          <w:b/>
          <w:bCs/>
          <w:kern w:val="0"/>
          <w:sz w:val="28"/>
          <w:szCs w:val="28"/>
        </w:rPr>
        <w:t>（三</w:t>
      </w:r>
      <w:r>
        <w:rPr>
          <w:rFonts w:hint="eastAsia" w:ascii="方正仿宋_GB2312" w:hAnsi="方正仿宋_GB2312" w:eastAsia="方正仿宋_GB2312" w:cs="方正仿宋_GB2312"/>
          <w:b/>
          <w:bCs/>
          <w:sz w:val="28"/>
          <w:szCs w:val="28"/>
        </w:rPr>
        <w:t>）单位绩效目标</w:t>
      </w:r>
      <w:bookmarkEnd w:id="6"/>
    </w:p>
    <w:bookmarkEnd w:id="7"/>
    <w:p w14:paraId="5483897F">
      <w:pPr>
        <w:spacing w:line="560" w:lineRule="exact"/>
        <w:ind w:firstLine="560" w:firstLineChars="200"/>
        <w:rPr>
          <w:rFonts w:hint="eastAsia" w:ascii="方正仿宋_GB2312" w:hAnsi="方正仿宋_GB2312" w:eastAsia="方正仿宋_GB2312" w:cs="方正仿宋_GB2312"/>
          <w:sz w:val="28"/>
          <w:szCs w:val="28"/>
        </w:rPr>
      </w:pPr>
      <w:bookmarkStart w:id="8" w:name="_Toc45478663"/>
      <w:bookmarkStart w:id="9" w:name="_Toc45477247"/>
      <w:bookmarkStart w:id="10" w:name="_Toc45474239"/>
      <w:bookmarkStart w:id="11" w:name="_Toc45478812"/>
      <w:r>
        <w:rPr>
          <w:rFonts w:hint="eastAsia" w:ascii="方正仿宋_GB2312" w:hAnsi="方正仿宋_GB2312" w:eastAsia="方正仿宋_GB2312" w:cs="方正仿宋_GB2312"/>
          <w:sz w:val="28"/>
          <w:szCs w:val="28"/>
        </w:rPr>
        <w:t>1.总目标</w:t>
      </w:r>
    </w:p>
    <w:p w14:paraId="553EA241">
      <w:pPr>
        <w:pStyle w:val="23"/>
        <w:tabs>
          <w:tab w:val="right" w:leader="dot" w:pos="8959"/>
        </w:tabs>
        <w:spacing w:line="560" w:lineRule="exact"/>
        <w:ind w:left="0" w:leftChars="0"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highlight w:val="none"/>
          <w:lang w:val="en-US" w:eastAsia="zh-CN"/>
        </w:rPr>
        <w:t>深入学习贯彻</w:t>
      </w:r>
      <w:r>
        <w:rPr>
          <w:rFonts w:hint="eastAsia" w:ascii="方正仿宋_GB2312" w:hAnsi="方正仿宋_GB2312" w:eastAsia="方正仿宋_GB2312" w:cs="方正仿宋_GB2312"/>
          <w:sz w:val="28"/>
          <w:szCs w:val="28"/>
          <w:highlight w:val="none"/>
        </w:rPr>
        <w:t>习近平新时代中国特色社会主义思想，全面贯彻落实党的二十大精神，客观分析国家、省市节能工作形势，结合节能</w:t>
      </w:r>
      <w:r>
        <w:rPr>
          <w:rFonts w:hint="eastAsia" w:ascii="方正仿宋_GB2312" w:hAnsi="方正仿宋_GB2312" w:eastAsia="方正仿宋_GB2312" w:cs="方正仿宋_GB2312"/>
          <w:sz w:val="28"/>
          <w:szCs w:val="28"/>
        </w:rPr>
        <w:t>工作实际，通过创新发展、对标找差，坚定发展目标定位，以新发展理念为引领，积极配合国家、省市各级节能主管部门开展相关工作，重点围绕市工业和信息化局节能工作部署，在全市范围内实施公益性节能和绿色发展服务工作，不断加强中心能力建设，提升中心品牌影响力。</w:t>
      </w:r>
    </w:p>
    <w:p w14:paraId="5EE37EA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2.中长期目标</w:t>
      </w:r>
    </w:p>
    <w:p w14:paraId="587E2A0D">
      <w:pPr>
        <w:pStyle w:val="3"/>
        <w:spacing w:line="56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坚持以习近平新时代中国特色社会主义思想为指导，全面贯彻落实习近平生态文明思想和习近平总书记重要讲话重要指示批示精神，围绕南京市工业和信息化局工作部署，紧扣高质量发展目标任务，扎实推进党建与业务工作深度融合，坚持新发展理念，深化改革，完善制度，提升服务，以饱满的热情、务实的作风，奋力争当全国现代化公益性节能服务机构排头兵，努力开创全市节能服务保障工作高质量可持续发展新局面。通过自身建设发展，力争成为企业节能低碳绿色发展的“顾问”，政府部门决策的“智囊”，节能环保产业发展的“助推剂”；要发挥独特优势，成为政府与企业间、企业与企业间的“桥梁”，对外交流合作的“窗口”，综合服务的“平台”。</w:t>
      </w:r>
    </w:p>
    <w:p w14:paraId="7B2011B5">
      <w:pPr>
        <w:spacing w:line="560" w:lineRule="exact"/>
        <w:ind w:firstLine="560" w:firstLineChars="200"/>
        <w:rPr>
          <w:rFonts w:hint="eastAsia" w:ascii="方正仿宋_GB2312" w:hAnsi="方正仿宋_GB2312" w:eastAsia="方正仿宋_GB2312" w:cs="方正仿宋_GB2312"/>
          <w:sz w:val="28"/>
          <w:szCs w:val="28"/>
          <w:highlight w:val="none"/>
        </w:rPr>
      </w:pPr>
      <w:r>
        <w:rPr>
          <w:rFonts w:hint="eastAsia" w:ascii="方正仿宋_GB2312" w:hAnsi="方正仿宋_GB2312" w:eastAsia="方正仿宋_GB2312" w:cs="方正仿宋_GB2312"/>
          <w:sz w:val="28"/>
          <w:szCs w:val="28"/>
        </w:rPr>
        <w:t>3.年度绩效目标</w:t>
      </w:r>
    </w:p>
    <w:bookmarkEnd w:id="8"/>
    <w:bookmarkEnd w:id="9"/>
    <w:bookmarkEnd w:id="10"/>
    <w:bookmarkEnd w:id="11"/>
    <w:p w14:paraId="1854368E">
      <w:pPr>
        <w:spacing w:line="560" w:lineRule="exact"/>
        <w:ind w:firstLine="560" w:firstLineChars="200"/>
        <w:rPr>
          <w:rFonts w:hint="eastAsia" w:ascii="方正仿宋_GB2312" w:hAnsi="方正仿宋_GB2312" w:eastAsia="方正仿宋_GB2312" w:cs="方正仿宋_GB2312"/>
          <w:sz w:val="28"/>
          <w:szCs w:val="28"/>
        </w:rPr>
      </w:pPr>
      <w:bookmarkStart w:id="12" w:name="_Toc113465516"/>
      <w:r>
        <w:rPr>
          <w:rFonts w:hint="eastAsia" w:ascii="方正仿宋_GB2312" w:hAnsi="方正仿宋_GB2312" w:eastAsia="方正仿宋_GB2312" w:cs="方正仿宋_GB2312"/>
          <w:sz w:val="28"/>
          <w:szCs w:val="28"/>
          <w:highlight w:val="none"/>
        </w:rPr>
        <w:t>坚持以习近平新时代中国特色社会主义思想为指导，深入贯彻党的二十大和二十届二中、三中全会精神，认真落实《中华人民共和国节约能源法》和市工业和信息化局对节能低碳绿色发展工作</w:t>
      </w:r>
      <w:r>
        <w:rPr>
          <w:rFonts w:hint="eastAsia" w:ascii="方正仿宋_GB2312" w:hAnsi="方正仿宋_GB2312" w:eastAsia="方正仿宋_GB2312" w:cs="方正仿宋_GB2312"/>
          <w:sz w:val="28"/>
          <w:szCs w:val="28"/>
        </w:rPr>
        <w:t>的重要部署，积极践行《南京市推进产业强市行动计划（2023-2025年）》，充分发挥政府助手作用，协助市工业和信息化局等主管部门聚焦开展节能低碳绿色发展政策研究，持续推进固定资产投资项目节能评审和重点用能单位能效水平评估；围绕“六个一”开展系列节能宣传活动；统筹用好《能源研究与利用》期刊和“江苏节能网”网站宣传渠道，重点宣传全省节能动态和成果；突出需求导向，面向用能单位组织召开4场节能培训，组织节能技术解决方案供应商和用能单位开展供需对接活动，促进先进节能技术推广应用；发挥专业技术优势，全年协助25</w:t>
      </w:r>
      <w:r>
        <w:rPr>
          <w:rFonts w:hint="eastAsia" w:ascii="方正仿宋_GB2312" w:hAnsi="方正仿宋_GB2312" w:eastAsia="方正仿宋_GB2312" w:cs="方正仿宋_GB2312"/>
          <w:sz w:val="28"/>
          <w:szCs w:val="28"/>
          <w:highlight w:val="none"/>
        </w:rPr>
        <w:t>家企业实施节能诊断、能源审计，助</w:t>
      </w:r>
      <w:r>
        <w:rPr>
          <w:rFonts w:hint="eastAsia" w:ascii="方正仿宋_GB2312" w:hAnsi="方正仿宋_GB2312" w:eastAsia="方正仿宋_GB2312" w:cs="方正仿宋_GB2312"/>
          <w:sz w:val="28"/>
          <w:szCs w:val="28"/>
        </w:rPr>
        <w:t>力10家企业（园区）创建绿色工厂（绿色产品、绿色供应链、绿色园区）。</w:t>
      </w:r>
    </w:p>
    <w:p w14:paraId="71BDAB57">
      <w:pPr>
        <w:spacing w:line="560" w:lineRule="exact"/>
        <w:ind w:firstLine="562" w:firstLineChars="200"/>
        <w:outlineLvl w:val="0"/>
        <w:rPr>
          <w:rFonts w:hint="eastAsia" w:ascii="方正仿宋_GB2312" w:hAnsi="方正仿宋_GB2312" w:eastAsia="方正仿宋_GB2312" w:cs="方正仿宋_GB2312"/>
          <w:b/>
          <w:bCs/>
          <w:color w:val="000000"/>
          <w:kern w:val="0"/>
          <w:sz w:val="28"/>
          <w:szCs w:val="28"/>
        </w:rPr>
      </w:pPr>
      <w:bookmarkStart w:id="13" w:name="_Toc5462"/>
      <w:r>
        <w:rPr>
          <w:rFonts w:hint="eastAsia" w:ascii="方正仿宋_GB2312" w:hAnsi="方正仿宋_GB2312" w:eastAsia="方正仿宋_GB2312" w:cs="方正仿宋_GB2312"/>
          <w:b/>
          <w:bCs/>
          <w:color w:val="000000"/>
          <w:kern w:val="0"/>
          <w:sz w:val="28"/>
          <w:szCs w:val="28"/>
        </w:rPr>
        <w:t>二、评价结论</w:t>
      </w:r>
      <w:bookmarkEnd w:id="12"/>
      <w:bookmarkEnd w:id="13"/>
    </w:p>
    <w:p w14:paraId="14632CEF">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14" w:name="_Toc113465517"/>
      <w:bookmarkStart w:id="15" w:name="_Toc29785"/>
      <w:r>
        <w:rPr>
          <w:rFonts w:hint="eastAsia" w:ascii="方正仿宋_GB2312" w:hAnsi="方正仿宋_GB2312" w:eastAsia="方正仿宋_GB2312" w:cs="方正仿宋_GB2312"/>
          <w:b/>
          <w:bCs/>
          <w:kern w:val="0"/>
          <w:sz w:val="28"/>
          <w:szCs w:val="28"/>
        </w:rPr>
        <w:t>（一）评价对象</w:t>
      </w:r>
      <w:bookmarkEnd w:id="14"/>
      <w:r>
        <w:rPr>
          <w:rFonts w:hint="eastAsia" w:ascii="方正仿宋_GB2312" w:hAnsi="方正仿宋_GB2312" w:eastAsia="方正仿宋_GB2312" w:cs="方正仿宋_GB2312"/>
          <w:b/>
          <w:bCs/>
          <w:kern w:val="0"/>
          <w:sz w:val="28"/>
          <w:szCs w:val="28"/>
        </w:rPr>
        <w:t>与范围</w:t>
      </w:r>
      <w:bookmarkEnd w:id="15"/>
    </w:p>
    <w:p w14:paraId="3BBF77E9">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本次整体评价的对象为中心2024年度整体预算，包括整体基本经费支出和项目经费支出。绩效评价时间段为2024年1月1日—2024年12月31日。</w:t>
      </w:r>
    </w:p>
    <w:p w14:paraId="3B67EA21">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16" w:name="_Toc14590"/>
      <w:bookmarkStart w:id="17" w:name="_Toc24624032"/>
      <w:bookmarkStart w:id="18" w:name="_Toc113465518"/>
      <w:r>
        <w:rPr>
          <w:rFonts w:hint="eastAsia" w:ascii="方正仿宋_GB2312" w:hAnsi="方正仿宋_GB2312" w:eastAsia="方正仿宋_GB2312" w:cs="方正仿宋_GB2312"/>
          <w:b/>
          <w:bCs/>
          <w:kern w:val="0"/>
          <w:sz w:val="28"/>
          <w:szCs w:val="28"/>
        </w:rPr>
        <w:t>（二）绩效评价结论</w:t>
      </w:r>
      <w:bookmarkEnd w:id="16"/>
      <w:bookmarkEnd w:id="17"/>
      <w:bookmarkEnd w:id="18"/>
    </w:p>
    <w:p w14:paraId="1C8DCE94">
      <w:pPr>
        <w:spacing w:line="560" w:lineRule="exact"/>
        <w:ind w:firstLine="560" w:firstLineChars="200"/>
        <w:rPr>
          <w:rFonts w:ascii="仿宋_GB2312" w:eastAsia="仿宋_GB2312" w:hAnsiTheme="minorHAnsi" w:cstheme="minorBidi"/>
          <w:sz w:val="28"/>
          <w:szCs w:val="28"/>
        </w:rPr>
      </w:pPr>
      <w:r>
        <w:rPr>
          <w:rFonts w:hint="eastAsia" w:ascii="方正仿宋_GB2312" w:hAnsi="方正仿宋_GB2312" w:eastAsia="方正仿宋_GB2312" w:cs="方正仿宋_GB2312"/>
          <w:sz w:val="28"/>
          <w:szCs w:val="28"/>
        </w:rPr>
        <w:t>以指标体系为基础，经过确认评价基础数据，按照制定的评价标准与评分规则，以100分为评价标准分值，从部门决策、过程、履职、效益、满意度等五个方面进行综合评价和量化打分，经评价，2024年度部门整体绩效评分结果为92.</w:t>
      </w:r>
      <w:r>
        <w:rPr>
          <w:rFonts w:hint="eastAsia" w:ascii="方正仿宋_GB2312" w:hAnsi="方正仿宋_GB2312" w:eastAsia="方正仿宋_GB2312" w:cs="方正仿宋_GB2312"/>
          <w:sz w:val="28"/>
          <w:szCs w:val="28"/>
          <w:lang w:val="en-US" w:eastAsia="zh-CN"/>
        </w:rPr>
        <w:t>8</w:t>
      </w:r>
      <w:r>
        <w:rPr>
          <w:rFonts w:hint="eastAsia" w:ascii="方正仿宋_GB2312" w:hAnsi="方正仿宋_GB2312" w:eastAsia="方正仿宋_GB2312" w:cs="方正仿宋_GB2312"/>
          <w:sz w:val="28"/>
          <w:szCs w:val="28"/>
        </w:rPr>
        <w:t>5分（详见附件：《2024年度南京市节能技术服务中心部门整体绩效自评价表》），等级为“</w:t>
      </w:r>
      <w:r>
        <w:rPr>
          <w:rFonts w:hint="eastAsia" w:ascii="方正仿宋_GB2312" w:hAnsi="方正仿宋_GB2312" w:eastAsia="方正仿宋_GB2312" w:cs="方正仿宋_GB2312"/>
          <w:b/>
          <w:bCs/>
          <w:sz w:val="28"/>
          <w:szCs w:val="28"/>
        </w:rPr>
        <w:t>优</w:t>
      </w:r>
      <w:r>
        <w:rPr>
          <w:rFonts w:hint="eastAsia" w:ascii="方正仿宋_GB2312" w:hAnsi="方正仿宋_GB2312" w:eastAsia="方正仿宋_GB2312" w:cs="方正仿宋_GB2312"/>
          <w:sz w:val="28"/>
          <w:szCs w:val="28"/>
        </w:rPr>
        <w:t>”</w:t>
      </w:r>
      <w:r>
        <w:rPr>
          <w:rFonts w:hint="eastAsia" w:ascii="仿宋_GB2312" w:eastAsia="仿宋_GB2312" w:hAnsiTheme="minorHAnsi" w:cstheme="minorBidi"/>
          <w:sz w:val="28"/>
          <w:szCs w:val="28"/>
        </w:rPr>
        <w:t>。</w:t>
      </w:r>
    </w:p>
    <w:p w14:paraId="073ACE66">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19" w:name="_Toc113465519"/>
      <w:bookmarkStart w:id="20" w:name="_Toc8180"/>
      <w:r>
        <w:rPr>
          <w:rFonts w:hint="eastAsia" w:ascii="方正仿宋_GB2312" w:hAnsi="方正仿宋_GB2312" w:eastAsia="方正仿宋_GB2312" w:cs="方正仿宋_GB2312"/>
          <w:b/>
          <w:bCs/>
          <w:kern w:val="0"/>
          <w:sz w:val="28"/>
          <w:szCs w:val="28"/>
        </w:rPr>
        <w:t>三、单位履职成效</w:t>
      </w:r>
      <w:bookmarkEnd w:id="19"/>
      <w:bookmarkEnd w:id="20"/>
    </w:p>
    <w:p w14:paraId="760CCF3B">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1" w:name="_Toc32398"/>
      <w:bookmarkStart w:id="22" w:name="_Toc113465525"/>
      <w:r>
        <w:rPr>
          <w:rFonts w:hint="eastAsia" w:ascii="方正仿宋_GB2312" w:hAnsi="方正仿宋_GB2312" w:eastAsia="方正仿宋_GB2312" w:cs="方正仿宋_GB2312"/>
          <w:b/>
          <w:bCs/>
          <w:kern w:val="0"/>
          <w:sz w:val="28"/>
          <w:szCs w:val="28"/>
        </w:rPr>
        <w:t>（一）强化公益与技术支撑，启动绿色发展新征程</w:t>
      </w:r>
      <w:bookmarkEnd w:id="21"/>
    </w:p>
    <w:p w14:paraId="647702C4">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1.深度参与政策课题研究，夯实工业节能低碳基石</w:t>
      </w:r>
    </w:p>
    <w:p w14:paraId="44B20E9E">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南京市碳达峰实施方案》，与绿色制造处紧密合作，精心完善《南京市工业领域及重点行业碳达峰实施方案》，为我市工业领域碳达峰工作提供了精准的指导。积极开展两个省级标准反馈意见的修订和报审工作，成功召开标准修订审查会，有力确保标准的科学性和实用性。参与乙烯等两个行业节能监察工作手册编制，为行业节能监察工作提供规范依据。此外，在省节能量交易中心收尾工作中，我们积极作为，保障了节能量交易的顺利进行和规范管理。</w:t>
      </w:r>
    </w:p>
    <w:p w14:paraId="7DE78F1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2.提升专业服务效能，发挥支撑助手作用</w:t>
      </w:r>
    </w:p>
    <w:p w14:paraId="3768B74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聚焦工业重点领域企业，持续对扬子石化等16家工业企业2023年的32个（套）装置进行能效水平评估，并跟踪企业能效提升技术改造方案的落实情况，为每家企业精心编制能效水平评估报告。评估结果显示，与2021年、2022年相比，优于标杆水平的装置占比显著上升。同时，我们还对20家工业企业实施全面节能诊断，涵盖7家专精特新中小企业、6家专精特新“小巨人”企业，以及另外7家企业，涉及12个行业领域，共挖掘出40项节能技术改造项目建议，预计可实现年节能量4千吨标准煤，约占被诊断企业年能耗总量的5%，有效助力企业降低能耗成本。此外，根据绿色制造处的工作安排，对全市38家5万吨标准煤以上重点用能单位开展能效诊断工作，全面梳理出六大行业13类主要用能产品、7类用能设备的能效水平及节能降碳改造和用能设备更新项目储备情况，为重点用能单位的节能降碳工作提供了精准的数据支持和决策依据。</w:t>
      </w:r>
    </w:p>
    <w:p w14:paraId="474BDD82">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3.严格履行评审职责，保障项目合规推进</w:t>
      </w:r>
    </w:p>
    <w:p w14:paraId="447D9F5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配合省工信厅、市工信局等开展11个固定资产投资项目节能报告评审，严格把关，确保项目符合节能要求。配合省工信厅对19家再生资源利用行业规范准入条件企业申报材料进行审核，筛选出12家符合规范条件的企业报工信部。配合绿色制造处参与市生态环境局牵头的4家水泥生产企业超低排放检查，以及上海梅山钢铁股份有限公司环保升级改造工程等两个项目的节能验收，对南京扬子空压站可靠性提升改造</w:t>
      </w:r>
      <w:bookmarkStart w:id="46" w:name="_GoBack"/>
      <w:bookmarkEnd w:id="46"/>
      <w:r>
        <w:rPr>
          <w:rFonts w:hint="eastAsia" w:ascii="方正仿宋_GB2312" w:hAnsi="方正仿宋_GB2312" w:eastAsia="方正仿宋_GB2312" w:cs="方正仿宋_GB2312"/>
          <w:sz w:val="28"/>
          <w:szCs w:val="28"/>
        </w:rPr>
        <w:t>项目节能验收报告进行质量把关，并对一家申报省输液瓶（袋）回收利用名录的企业进行现场核查；深入调研南京市电动自行车废旧锂电池回收利用工作，并参与报废机动车回收拆解行业联合检查；补充完善南京市申报省级绿色工厂的评审评分表，对全市60余家企业创建省级绿色工厂材料进行严格审核，确保各项工作的质量和合规性。</w:t>
      </w:r>
    </w:p>
    <w:p w14:paraId="2256A1A7">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4.全面落实行动举措，积极应对气候变化</w:t>
      </w:r>
    </w:p>
    <w:p w14:paraId="70843D5C">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参与省生态环境厅2024年度应对气候变化技术服务项目投标并中标，举办全省钢铁行业绿色低碳转型发展系列培训、重点行业绿色低碳转型培训等活动5场，累计培训学员553人次。组织技术人员分三次对20家发电行业、12家钢铁（水泥、平板玻璃）行业和17家其他非电行业重点排放单位开展现场核查。此外，我们高度重视技术人员碳方面能力建设，安排技术人员参加碳排放异地监督帮扶督查、执法人员碳排放执法培训、碳排放权管理条例和数据质量培训、水泥行业纳入全国碳市场能力建设培训和碳排放核算员技能竞赛，不断提升技术人员在碳领域的专业能力和业务水平。</w:t>
      </w:r>
    </w:p>
    <w:p w14:paraId="1C32ED62">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3" w:name="_Toc20927"/>
      <w:r>
        <w:rPr>
          <w:rFonts w:hint="eastAsia" w:ascii="方正仿宋_GB2312" w:hAnsi="方正仿宋_GB2312" w:eastAsia="方正仿宋_GB2312" w:cs="方正仿宋_GB2312"/>
          <w:b/>
          <w:bCs/>
          <w:kern w:val="0"/>
          <w:sz w:val="28"/>
          <w:szCs w:val="28"/>
        </w:rPr>
        <w:t>（二）强化宣传培训引导，打造能源管理高素质队伍</w:t>
      </w:r>
      <w:bookmarkEnd w:id="23"/>
    </w:p>
    <w:p w14:paraId="68C97EEC">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1.紧扣节能主题，丰富节能宣传周活动形式</w:t>
      </w:r>
    </w:p>
    <w:p w14:paraId="1517180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全国节能宣传周期间，紧紧围绕“绿色转型，节能攻坚”主题，精心策划并组织开展了能源紧缺体验、节能低碳专题培训、节能专家企业行、节能宣传进校园、节能技术推广等系列活动，切实增强了社会各界的节能意识，营造浓厚的节能氛围。</w:t>
      </w:r>
    </w:p>
    <w:p w14:paraId="3201746C">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2.优化节能宣传阵地，切实提升宣传成效</w:t>
      </w:r>
    </w:p>
    <w:p w14:paraId="7CDC2FB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全面统筹各类宣传媒介，重点把控期刊和网站两大节能宣传阵地，确保宣传工作同党中央保持高度一致。积极推进《能源研究与利用》期刊主管（主办）单位名称变更申请工作，并强化对发表文章的审核筛选，有效提高刊文质量，该刊2023年度影响因子从2022年的0.739提高到0.780，2024年出版的六期期刊共发表61篇文章，其中基金文章23篇，占比37.7%。顺利完成“江苏节能网”网站升级改版和等级保护测评，改版后的网站更注重展示省、市及南京各区节能低碳绿色发展成果，进一步扩大了节能宣传影响力，全年发布稿件730篇，发布原创稿件54篇。</w:t>
      </w:r>
    </w:p>
    <w:p w14:paraId="261E9F0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3.契合发展需求，增强培训与推介效能</w:t>
      </w:r>
    </w:p>
    <w:p w14:paraId="7FC87209">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配合相关部门和企业开展各类培训与推介活动。一季度，配合绿色制造处承办南京市绿色制造体系创建专题培训，深入讲解绿色制造体系建设政策、评价要求及申报流程，并推广节能和用电安全技术，为全市绿色制造体系建设奠定基础。五月中旬，联合溧水区工信局举办溧水专场节能低碳技术供需对接和专题培训活动，推广多项节能低碳技术、产品，并解读相关政策法规。三季度，根据江北新区需求，在新材料科技园举办“聚焦绿电绿证 共筑绿色未来”专题培训，邀请专家解读绿电绿证政策并邀请园区企业分享经验。10月下旬，协助绿色制造处举办全市工业领域用能设备更新供需对接会，解读国家及省市“两新”政策，并开展电机、风机、空压机、变压器、绿色金融等领域供需对接活动，推动了工业领域节能设备更新与发展。此外，应邀为梅钢开展绿色低碳能力建设专场培训，并积极组织两家南京企业参加国家节能中心主办的先进节能降碳技术产品展示及对接活动，有效促进了节能技术的交流与合作。</w:t>
      </w:r>
    </w:p>
    <w:p w14:paraId="47CBCBF0">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4" w:name="_Toc20196"/>
      <w:r>
        <w:rPr>
          <w:rFonts w:hint="eastAsia" w:ascii="方正仿宋_GB2312" w:hAnsi="方正仿宋_GB2312" w:eastAsia="方正仿宋_GB2312" w:cs="方正仿宋_GB2312"/>
          <w:b/>
          <w:bCs/>
          <w:kern w:val="0"/>
          <w:sz w:val="28"/>
          <w:szCs w:val="28"/>
        </w:rPr>
        <w:t>（三）强化市场服务意识，激发绿色发展活力</w:t>
      </w:r>
      <w:bookmarkEnd w:id="24"/>
    </w:p>
    <w:p w14:paraId="705B9C0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1.全力助推企业园区，构建绿色制造体系</w:t>
      </w:r>
    </w:p>
    <w:p w14:paraId="057D1987">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积极指导南瑞继保等3家企业创建国家级绿色供应链管理企业，南京贺利氏贵金属等14家企业创建国家级绿色工厂，新联电子等5家企业创建省级绿色工厂，浦口经开区等2个园区创建国家级、省级绿色工业园区，有力推动了企业和园区的绿色发展进程。</w:t>
      </w:r>
    </w:p>
    <w:p w14:paraId="2B48FC07">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2.拓展多元技术服务，夯实企业节能根基</w:t>
      </w:r>
    </w:p>
    <w:p w14:paraId="29F963EC">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按照最新出台的节能审查实施办法要求，认真开展15个企业固定资产投资项目节能报告编制工作，为企业节能项目实施提供专业、精准的指导。顺利完成两家工业企业和两个公共机构能源审计，扎实完成11个节能量审核项目现场核查工作，并对常熟市19家工业企业开展精准化节能诊断，为企业挖掘节能潜力提供了有力支持。</w:t>
      </w:r>
    </w:p>
    <w:p w14:paraId="5F7B243B">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5" w:name="_Toc26682"/>
      <w:r>
        <w:rPr>
          <w:rFonts w:hint="eastAsia" w:ascii="方正仿宋_GB2312" w:hAnsi="方正仿宋_GB2312" w:eastAsia="方正仿宋_GB2312" w:cs="方正仿宋_GB2312"/>
          <w:b/>
          <w:bCs/>
          <w:kern w:val="0"/>
          <w:sz w:val="28"/>
          <w:szCs w:val="28"/>
        </w:rPr>
        <w:t>（四）强化党建政治引领，推进中心高质量发展</w:t>
      </w:r>
      <w:bookmarkEnd w:id="25"/>
    </w:p>
    <w:p w14:paraId="1229E0E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1.扎实开展党纪学习教育，强化党员纪律意识</w:t>
      </w:r>
    </w:p>
    <w:p w14:paraId="6BA6906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党总支及各支部制定党纪学习教育计划表，各支部组织党员集中学习《中国共产党纪律处分条例》，配发相关学习材料，交流研讨学习心得，总支书记和支部书记带头讲授专题党课。以主题党日活动为依托，组织党员前往廉政教育基地开展现场警示教育，指导各支部剖析案例、排查廉政风险点。党员个人对照“六项纪律”查摆问题，并制定相应的整改防范措施，确保党纪学习教育落到实处。</w:t>
      </w:r>
    </w:p>
    <w:p w14:paraId="6FFDC07D">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2.推进支部建设标准化，落实党建工作责任</w:t>
      </w:r>
    </w:p>
    <w:p w14:paraId="74CE60EF">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年初，中心党总支制定了一系列党建工作计划和责任清单，明确总支书记负总责，层层压实党建工作责任。抓牢理论学习，落实“第一议题”学习制度，创新学习载体，增强学习效果。持续推动组织建设，完成总支委员补选和中心工会换届改选，培养发展对象并发展新党员。规范总支（支部）、党员个人记录，定期开展支部台账检查，并在“七一”前后开展“两优一先”评选表彰，组织党员重温入党誓词、过“政治生日”。</w:t>
      </w:r>
    </w:p>
    <w:p w14:paraId="2C69B5D3">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3.深入推进党风廉政建设，防范腐败风险</w:t>
      </w:r>
    </w:p>
    <w:p w14:paraId="6E712303">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大额资金存放银行遴选、专技岗位聘用评审等重大事项中，严格执行“三重一大”风险防控和监督管理要求，确保决策公正、透明。将党风廉政建设融入日常工作，开展领导干部党风廉政建设和职工廉洁教育相关活动，定期转发廉洁教育短信，在节假日前正风肃纪，开展常态化谈心谈话。组织党员群众集中学习警示教育短片和专题纪录片，年初与职工签署廉洁从业承诺书，技术人员参加碳排放核查等工作前召开专题会议强调廉洁纪律，筑牢廉洁防线。</w:t>
      </w:r>
    </w:p>
    <w:p w14:paraId="05590F3F">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4.严格把控意识形态，履行主体责任</w:t>
      </w:r>
    </w:p>
    <w:p w14:paraId="44AA9FC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党总支书记、各支部书记履行“第一责任人”工作职责，带头抓意识形态工作，加强阵地管理、导向把控和队伍建设。按期完成意识形态分析工作，常态化开展中心员工意识形态领域教育监督，强化微信群等登记管理，确保单位意识形态领域安全稳定。</w:t>
      </w:r>
    </w:p>
    <w:p w14:paraId="60BF8DF9">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5.巩固精神文明成果，开展多元文化活动</w:t>
      </w:r>
    </w:p>
    <w:p w14:paraId="2FB661A6">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成功举办首届职工技能竞赛、职工登山活动，召开1期道德讲堂和19期“业务大讲堂”，动员职工参与上级组织的各类公益活动和工会活动，举办以学习党史为主题的读书分享会，丰富职工精神文化生活，增强单位凝聚力。</w:t>
      </w:r>
    </w:p>
    <w:p w14:paraId="02CCEF21">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6.扎实开展安全生产工作，筑牢安全防线</w:t>
      </w:r>
    </w:p>
    <w:p w14:paraId="0AFE85F4">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定期开展安全生产分析研判和隐患排查治理工作，组织开展消防培训和逃生演练活动，增强职工应急逃生能力。委托专业机构对关键设施设备进行全面巡检与维护保养，确保其安全稳定运行。派员每月参加市工信局安全形势分析会，定期开展消防安全重大风险隐患排查行动，及时对重点部位和设施进行细致检查并整改安全隐患，全方位保障中心安全生产环境。</w:t>
      </w:r>
    </w:p>
    <w:p w14:paraId="6165A7A0">
      <w:pPr>
        <w:pStyle w:val="21"/>
        <w:spacing w:line="560" w:lineRule="exact"/>
        <w:ind w:firstLine="546" w:firstLineChars="195"/>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7.强化单位法治建设，提升依法治理水平</w:t>
      </w:r>
    </w:p>
    <w:p w14:paraId="13DC88A0">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党总支书记切实履行法治建设第一责任人职责，定期主持召开党总支委员会（扩大）会议开展法律法规学习活动，深入贯彻习近平法治思想。持续健全和完善单位管理规章制度，在关键环节主动向中心法律顾问征求意见建议，并要求出具合法性审查意见。积极组织全体职工参加法制、合同管理等专题培训，鼓励职工参与安全生产普法知识竞赛，有效增强职工的法治意识。</w:t>
      </w:r>
    </w:p>
    <w:p w14:paraId="0E720EB6">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26" w:name="_Toc19221"/>
      <w:r>
        <w:rPr>
          <w:rFonts w:hint="eastAsia" w:ascii="方正仿宋_GB2312" w:hAnsi="方正仿宋_GB2312" w:eastAsia="方正仿宋_GB2312" w:cs="方正仿宋_GB2312"/>
          <w:b/>
          <w:bCs/>
          <w:kern w:val="0"/>
          <w:sz w:val="28"/>
          <w:szCs w:val="28"/>
        </w:rPr>
        <w:t>四、存在问题及原因分析</w:t>
      </w:r>
      <w:bookmarkEnd w:id="22"/>
      <w:bookmarkEnd w:id="26"/>
    </w:p>
    <w:p w14:paraId="48AB1284">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7" w:name="_Toc12896"/>
      <w:bookmarkStart w:id="28" w:name="_Toc113465528"/>
      <w:r>
        <w:rPr>
          <w:rFonts w:hint="eastAsia" w:ascii="方正仿宋_GB2312" w:hAnsi="方正仿宋_GB2312" w:eastAsia="方正仿宋_GB2312" w:cs="方正仿宋_GB2312"/>
          <w:b/>
          <w:bCs/>
          <w:kern w:val="0"/>
          <w:sz w:val="28"/>
          <w:szCs w:val="28"/>
        </w:rPr>
        <w:t>（一）预算执行水平有待提升</w:t>
      </w:r>
      <w:bookmarkEnd w:id="27"/>
    </w:p>
    <w:p w14:paraId="65F226D8">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2024年预算执行水平有待提升，主要体现在非税收入预算完成率偏低和预算调整率偏高：中心非税收入主要为房租收入，预算金额170.75万元，实际完成金额115.28万元，非税收入预算完成率为67.51%，实际完成金额与预算金额存在差异主要原因是部分客户退租；中心2024年支出预算金额1,436.09万元，支出决算金额1,649.67万元，预算调整金额213.58万元，预算调整率为14.87%。</w:t>
      </w:r>
    </w:p>
    <w:p w14:paraId="15C924F5">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29" w:name="_Toc14237"/>
      <w:r>
        <w:rPr>
          <w:rFonts w:hint="eastAsia" w:ascii="方正仿宋_GB2312" w:hAnsi="方正仿宋_GB2312" w:eastAsia="方正仿宋_GB2312" w:cs="方正仿宋_GB2312"/>
          <w:b/>
          <w:bCs/>
          <w:kern w:val="0"/>
          <w:sz w:val="28"/>
          <w:szCs w:val="28"/>
        </w:rPr>
        <w:t>（二）资产管理能力需加强</w:t>
      </w:r>
      <w:bookmarkEnd w:id="29"/>
    </w:p>
    <w:p w14:paraId="609B817A">
      <w:pPr>
        <w:spacing w:line="560" w:lineRule="exact"/>
        <w:ind w:firstLine="560" w:firstLineChars="200"/>
        <w:rPr>
          <w:rFonts w:ascii="仿宋_GB2312" w:eastAsia="仿宋_GB2312" w:hAnsiTheme="minorHAnsi" w:cstheme="minorBidi"/>
          <w:sz w:val="28"/>
          <w:szCs w:val="28"/>
          <w:highlight w:val="none"/>
        </w:rPr>
      </w:pPr>
      <w:r>
        <w:rPr>
          <w:rFonts w:hint="eastAsia" w:ascii="方正仿宋_GB2312" w:hAnsi="方正仿宋_GB2312" w:eastAsia="方正仿宋_GB2312" w:cs="方正仿宋_GB2312"/>
          <w:sz w:val="28"/>
          <w:szCs w:val="28"/>
        </w:rPr>
        <w:t>中心资产管理职责不够清晰</w:t>
      </w:r>
      <w:r>
        <w:rPr>
          <w:rFonts w:hint="eastAsia" w:ascii="方正仿宋_GB2312" w:hAnsi="方正仿宋_GB2312" w:eastAsia="方正仿宋_GB2312" w:cs="方正仿宋_GB2312"/>
          <w:sz w:val="28"/>
          <w:szCs w:val="28"/>
          <w:highlight w:val="none"/>
        </w:rPr>
        <w:t>，</w:t>
      </w:r>
      <w:r>
        <w:rPr>
          <w:rFonts w:hint="eastAsia" w:ascii="方正仿宋_GB2312" w:hAnsi="方正仿宋_GB2312" w:eastAsia="方正仿宋_GB2312" w:cs="方正仿宋_GB2312"/>
          <w:sz w:val="28"/>
          <w:szCs w:val="28"/>
          <w:highlight w:val="none"/>
          <w:lang w:val="en-US" w:eastAsia="zh-CN"/>
        </w:rPr>
        <w:t>由于近几年中心在职人员减少，</w:t>
      </w:r>
      <w:r>
        <w:rPr>
          <w:rFonts w:hint="eastAsia" w:ascii="方正仿宋_GB2312" w:hAnsi="方正仿宋_GB2312" w:eastAsia="方正仿宋_GB2312" w:cs="方正仿宋_GB2312"/>
          <w:sz w:val="28"/>
          <w:szCs w:val="28"/>
          <w:highlight w:val="none"/>
        </w:rPr>
        <w:t>部分</w:t>
      </w:r>
      <w:r>
        <w:rPr>
          <w:rFonts w:hint="eastAsia" w:ascii="方正仿宋_GB2312" w:hAnsi="方正仿宋_GB2312" w:eastAsia="方正仿宋_GB2312" w:cs="方正仿宋_GB2312"/>
          <w:sz w:val="28"/>
          <w:szCs w:val="28"/>
          <w:highlight w:val="none"/>
          <w:lang w:val="en-US" w:eastAsia="zh-CN"/>
        </w:rPr>
        <w:t>办公桌椅、电脑、打印机等</w:t>
      </w:r>
      <w:r>
        <w:rPr>
          <w:rFonts w:hint="eastAsia" w:ascii="方正仿宋_GB2312" w:hAnsi="方正仿宋_GB2312" w:eastAsia="方正仿宋_GB2312" w:cs="方正仿宋_GB2312"/>
          <w:sz w:val="28"/>
          <w:szCs w:val="28"/>
          <w:highlight w:val="none"/>
        </w:rPr>
        <w:t>固定资产处于</w:t>
      </w:r>
      <w:r>
        <w:rPr>
          <w:rFonts w:hint="eastAsia" w:ascii="方正仿宋_GB2312" w:hAnsi="方正仿宋_GB2312" w:eastAsia="方正仿宋_GB2312" w:cs="方正仿宋_GB2312"/>
          <w:sz w:val="28"/>
          <w:szCs w:val="28"/>
          <w:highlight w:val="none"/>
          <w:lang w:val="en-US" w:eastAsia="zh-CN"/>
        </w:rPr>
        <w:t>待盘活</w:t>
      </w:r>
      <w:r>
        <w:rPr>
          <w:rFonts w:hint="eastAsia" w:ascii="方正仿宋_GB2312" w:hAnsi="方正仿宋_GB2312" w:eastAsia="方正仿宋_GB2312" w:cs="方正仿宋_GB2312"/>
          <w:sz w:val="28"/>
          <w:szCs w:val="28"/>
          <w:highlight w:val="none"/>
        </w:rPr>
        <w:t>状态，2024年资产卡片显示共有398项固定资产，待盘活固定资产43项，固定资产利用率89.20%，其中</w:t>
      </w:r>
      <w:r>
        <w:rPr>
          <w:rFonts w:hint="eastAsia" w:ascii="方正仿宋_GB2312" w:hAnsi="方正仿宋_GB2312" w:eastAsia="方正仿宋_GB2312" w:cs="方正仿宋_GB2312"/>
          <w:sz w:val="28"/>
          <w:szCs w:val="28"/>
          <w:highlight w:val="none"/>
          <w:lang w:eastAsia="zh-CN"/>
        </w:rPr>
        <w:t>，</w:t>
      </w:r>
      <w:r>
        <w:rPr>
          <w:rFonts w:hint="eastAsia" w:ascii="方正仿宋_GB2312" w:hAnsi="方正仿宋_GB2312" w:eastAsia="方正仿宋_GB2312" w:cs="方正仿宋_GB2312"/>
          <w:sz w:val="28"/>
          <w:szCs w:val="28"/>
          <w:highlight w:val="none"/>
          <w:lang w:val="en-US" w:eastAsia="zh-CN"/>
        </w:rPr>
        <w:t>5台电脑、打印机已无法正常工作，</w:t>
      </w:r>
      <w:r>
        <w:rPr>
          <w:rFonts w:hint="eastAsia" w:ascii="方正仿宋_GB2312" w:hAnsi="方正仿宋_GB2312" w:eastAsia="方正仿宋_GB2312" w:cs="方正仿宋_GB2312"/>
          <w:sz w:val="28"/>
          <w:szCs w:val="28"/>
          <w:highlight w:val="none"/>
        </w:rPr>
        <w:t>7台（套）检测设备不能满足当前的工作需要已处于报废状态，</w:t>
      </w:r>
      <w:r>
        <w:rPr>
          <w:rFonts w:hint="eastAsia" w:ascii="方正仿宋_GB2312" w:hAnsi="方正仿宋_GB2312" w:eastAsia="方正仿宋_GB2312" w:cs="方正仿宋_GB2312"/>
          <w:sz w:val="28"/>
          <w:szCs w:val="28"/>
          <w:highlight w:val="none"/>
          <w:lang w:eastAsia="zh-CN"/>
        </w:rPr>
        <w:t>中心已于</w:t>
      </w:r>
      <w:r>
        <w:rPr>
          <w:rFonts w:hint="eastAsia" w:ascii="方正仿宋_GB2312" w:hAnsi="方正仿宋_GB2312" w:eastAsia="方正仿宋_GB2312" w:cs="方正仿宋_GB2312"/>
          <w:sz w:val="28"/>
          <w:szCs w:val="28"/>
          <w:highlight w:val="none"/>
          <w:lang w:val="en-US" w:eastAsia="zh-CN"/>
        </w:rPr>
        <w:t>2025年5月份进行了报废处理</w:t>
      </w:r>
      <w:r>
        <w:rPr>
          <w:rFonts w:hint="eastAsia" w:ascii="方正仿宋_GB2312" w:hAnsi="方正仿宋_GB2312" w:eastAsia="方正仿宋_GB2312" w:cs="方正仿宋_GB2312"/>
          <w:sz w:val="28"/>
          <w:szCs w:val="28"/>
          <w:highlight w:val="none"/>
        </w:rPr>
        <w:t>。</w:t>
      </w:r>
      <w:r>
        <w:rPr>
          <w:rFonts w:hint="eastAsia" w:ascii="仿宋_GB2312" w:eastAsia="仿宋_GB2312" w:hAnsiTheme="minorHAnsi" w:cstheme="minorBidi"/>
          <w:sz w:val="28"/>
          <w:szCs w:val="28"/>
          <w:highlight w:val="none"/>
        </w:rPr>
        <w:t xml:space="preserve">    </w:t>
      </w:r>
    </w:p>
    <w:p w14:paraId="48C3012F">
      <w:pPr>
        <w:spacing w:line="560" w:lineRule="exact"/>
        <w:ind w:firstLine="562" w:firstLineChars="200"/>
        <w:outlineLvl w:val="1"/>
        <w:rPr>
          <w:rFonts w:hint="eastAsia" w:ascii="方正仿宋_GB2312" w:hAnsi="方正仿宋_GB2312" w:eastAsia="方正仿宋_GB2312" w:cs="方正仿宋_GB2312"/>
          <w:b/>
          <w:bCs/>
          <w:kern w:val="0"/>
          <w:sz w:val="28"/>
          <w:szCs w:val="28"/>
          <w:highlight w:val="none"/>
        </w:rPr>
      </w:pPr>
      <w:bookmarkStart w:id="30" w:name="_Toc30328"/>
      <w:r>
        <w:rPr>
          <w:rFonts w:hint="eastAsia" w:ascii="方正仿宋_GB2312" w:hAnsi="方正仿宋_GB2312" w:eastAsia="方正仿宋_GB2312" w:cs="方正仿宋_GB2312"/>
          <w:b/>
          <w:bCs/>
          <w:kern w:val="0"/>
          <w:sz w:val="28"/>
          <w:szCs w:val="28"/>
          <w:highlight w:val="none"/>
        </w:rPr>
        <w:t>（三）单位人才队伍建设不完善</w:t>
      </w:r>
      <w:bookmarkEnd w:id="30"/>
    </w:p>
    <w:p w14:paraId="7C113612">
      <w:pPr>
        <w:autoSpaceDE w:val="0"/>
        <w:autoSpaceDN w:val="0"/>
        <w:adjustRightInd w:val="0"/>
        <w:spacing w:line="600" w:lineRule="exact"/>
        <w:ind w:firstLine="560" w:firstLineChars="200"/>
        <w:rPr>
          <w:rFonts w:hint="eastAsia" w:ascii="方正仿宋_GB2312" w:hAnsi="方正仿宋_GB2312" w:eastAsia="方正仿宋_GB2312" w:cs="方正仿宋_GB2312"/>
          <w:color w:val="000000"/>
          <w:sz w:val="28"/>
          <w:szCs w:val="28"/>
        </w:rPr>
      </w:pPr>
      <w:r>
        <w:rPr>
          <w:rFonts w:hint="eastAsia" w:ascii="方正仿宋_GB2312" w:hAnsi="方正仿宋_GB2312" w:eastAsia="方正仿宋_GB2312" w:cs="方正仿宋_GB2312"/>
          <w:color w:val="000000"/>
          <w:sz w:val="28"/>
          <w:szCs w:val="28"/>
        </w:rPr>
        <w:t>中心受行政机关委托，负责协助参与政策研究、规划编制和标准制定、节能技术服务、节能宣传、培训和技术推广等工作，但中心核定编制41人，截至2024年末，实有在编人员26人，现有专业技术人员数量稍显不足。</w:t>
      </w:r>
    </w:p>
    <w:p w14:paraId="3B54541D">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31" w:name="_Toc3680"/>
      <w:r>
        <w:rPr>
          <w:rFonts w:hint="eastAsia" w:ascii="方正仿宋_GB2312" w:hAnsi="方正仿宋_GB2312" w:eastAsia="方正仿宋_GB2312" w:cs="方正仿宋_GB2312"/>
          <w:b/>
          <w:bCs/>
          <w:kern w:val="0"/>
          <w:sz w:val="28"/>
          <w:szCs w:val="28"/>
        </w:rPr>
        <w:t>五、</w:t>
      </w:r>
      <w:bookmarkEnd w:id="28"/>
      <w:r>
        <w:rPr>
          <w:rFonts w:hint="eastAsia" w:ascii="方正仿宋_GB2312" w:hAnsi="方正仿宋_GB2312" w:eastAsia="方正仿宋_GB2312" w:cs="方正仿宋_GB2312"/>
          <w:b/>
          <w:bCs/>
          <w:kern w:val="0"/>
          <w:sz w:val="28"/>
          <w:szCs w:val="28"/>
        </w:rPr>
        <w:t>有关建议</w:t>
      </w:r>
      <w:bookmarkEnd w:id="31"/>
    </w:p>
    <w:p w14:paraId="2D2BB4E1">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2" w:name="_Toc18606"/>
      <w:bookmarkStart w:id="33" w:name="_Toc113465531"/>
      <w:r>
        <w:rPr>
          <w:rFonts w:hint="eastAsia" w:ascii="方正仿宋_GB2312" w:hAnsi="方正仿宋_GB2312" w:eastAsia="方正仿宋_GB2312" w:cs="方正仿宋_GB2312"/>
          <w:b/>
          <w:bCs/>
          <w:kern w:val="0"/>
          <w:sz w:val="28"/>
          <w:szCs w:val="28"/>
        </w:rPr>
        <w:t>（一）科学编制预算，强化预算执行监控</w:t>
      </w:r>
      <w:bookmarkEnd w:id="32"/>
    </w:p>
    <w:p w14:paraId="00C6D523">
      <w:pPr>
        <w:spacing w:line="560" w:lineRule="exact"/>
        <w:ind w:firstLine="560" w:firstLineChars="200"/>
        <w:rPr>
          <w:rFonts w:ascii="仿宋_GB2312" w:eastAsia="仿宋_GB2312" w:hAnsiTheme="minorHAnsi" w:cstheme="minorBidi"/>
          <w:sz w:val="28"/>
          <w:szCs w:val="28"/>
        </w:rPr>
      </w:pPr>
      <w:r>
        <w:rPr>
          <w:rFonts w:hint="eastAsia" w:ascii="方正仿宋_GB2312" w:hAnsi="方正仿宋_GB2312" w:eastAsia="方正仿宋_GB2312" w:cs="方正仿宋_GB2312"/>
          <w:sz w:val="28"/>
          <w:szCs w:val="28"/>
        </w:rPr>
        <w:t>中心应提高预算精准度，结合历史数据和实际需求，优化预算编制方法，细化预算科目提高可执行性。建立预警机制，设定关键指标（如执行率、偏差率），实时监控预算完成情况，及时预警异常。明确预算调整的条件、审批权限和程序，尽量避免大额调整预算。</w:t>
      </w:r>
    </w:p>
    <w:p w14:paraId="66EB586F">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4" w:name="_Toc21861"/>
      <w:r>
        <w:rPr>
          <w:rFonts w:hint="eastAsia" w:ascii="方正仿宋_GB2312" w:hAnsi="方正仿宋_GB2312" w:eastAsia="方正仿宋_GB2312" w:cs="方正仿宋_GB2312"/>
          <w:b/>
          <w:bCs/>
          <w:kern w:val="0"/>
          <w:sz w:val="28"/>
          <w:szCs w:val="28"/>
        </w:rPr>
        <w:t>（二）建立长效机制，提高资产利用率</w:t>
      </w:r>
      <w:bookmarkEnd w:id="34"/>
    </w:p>
    <w:p w14:paraId="6DAC876B">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中心应完善《单位国有资产管理办法》，覆盖全生命周期的管理规范（购置-使用-处置-清查），明确各个环节的管理要求和责任主体，建立“谁使用、谁负责”的追责机制。设立专职资产管理岗，配备专业的资产管理工作人员，并定期开展培训考核，提升其业务能力和管理水平，确保国有资产管理工作落到实处，提高资产管理工作质量。建立资产利用率、回报率等指标，实现对资产的实时动态监控，提高资产管理的效率和透明度。</w:t>
      </w:r>
    </w:p>
    <w:p w14:paraId="0ED40B29">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5" w:name="_Toc30537"/>
      <w:r>
        <w:rPr>
          <w:rFonts w:hint="eastAsia" w:ascii="方正仿宋_GB2312" w:hAnsi="方正仿宋_GB2312" w:eastAsia="方正仿宋_GB2312" w:cs="方正仿宋_GB2312"/>
          <w:b/>
          <w:bCs/>
          <w:kern w:val="0"/>
          <w:sz w:val="28"/>
          <w:szCs w:val="28"/>
        </w:rPr>
        <w:t>（三）健全人才培养机制，加强人才队伍建设</w:t>
      </w:r>
      <w:bookmarkEnd w:id="35"/>
    </w:p>
    <w:p w14:paraId="77BCDDF6">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结合单位业务及需求，建立人才吸纳、培养和使用相协调的良好机制，加大竞争上岗比例，优化人才成长环境和人力资源配置。在日常工作开展过程中努力挖掘行业政策、标准、方案制订和课题研究等业务。同时也要引入外部智力支持，进一步整合完善专家库信息，拓宽工作人员的视野，丰富工作人员的理论水平。</w:t>
      </w:r>
    </w:p>
    <w:p w14:paraId="239C1DCE">
      <w:pPr>
        <w:spacing w:line="560" w:lineRule="exact"/>
        <w:ind w:firstLine="562" w:firstLineChars="200"/>
        <w:outlineLvl w:val="0"/>
        <w:rPr>
          <w:rFonts w:hint="eastAsia" w:ascii="方正仿宋_GB2312" w:hAnsi="方正仿宋_GB2312" w:eastAsia="方正仿宋_GB2312" w:cs="方正仿宋_GB2312"/>
          <w:b/>
          <w:bCs/>
          <w:kern w:val="0"/>
          <w:sz w:val="28"/>
          <w:szCs w:val="28"/>
        </w:rPr>
      </w:pPr>
      <w:bookmarkStart w:id="36" w:name="_Toc2224"/>
      <w:r>
        <w:rPr>
          <w:rFonts w:hint="eastAsia" w:ascii="方正仿宋_GB2312" w:hAnsi="方正仿宋_GB2312" w:eastAsia="方正仿宋_GB2312" w:cs="方正仿宋_GB2312"/>
          <w:b/>
          <w:bCs/>
          <w:kern w:val="0"/>
          <w:sz w:val="28"/>
          <w:szCs w:val="28"/>
        </w:rPr>
        <w:t>六、评价工作开展情况及其他需说明的情况</w:t>
      </w:r>
      <w:bookmarkEnd w:id="33"/>
      <w:bookmarkEnd w:id="36"/>
    </w:p>
    <w:p w14:paraId="37302FFE">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7" w:name="_Toc113465532"/>
      <w:bookmarkStart w:id="38" w:name="_Toc16821"/>
      <w:r>
        <w:rPr>
          <w:rFonts w:hint="eastAsia" w:ascii="方正仿宋_GB2312" w:hAnsi="方正仿宋_GB2312" w:eastAsia="方正仿宋_GB2312" w:cs="方正仿宋_GB2312"/>
          <w:b/>
          <w:bCs/>
          <w:kern w:val="0"/>
          <w:sz w:val="28"/>
          <w:szCs w:val="28"/>
        </w:rPr>
        <w:t>（一）评价目的</w:t>
      </w:r>
      <w:bookmarkEnd w:id="37"/>
      <w:bookmarkEnd w:id="38"/>
    </w:p>
    <w:p w14:paraId="4EADFA0A">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开展单位整体绩效评价是全面贯彻落实《中共江苏省委江苏省人民政府关于全面实施预算绩效管理的实施意见》的重要举措。开展单位整体绩效评价的目的是“促进单位从整体提升预算绩效管理工作水平及使用效益，保障单位更好地履行职责”，具体包括：</w:t>
      </w:r>
    </w:p>
    <w:p w14:paraId="035E3883">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通过对单位整体开展绩效评价，可以发现单位管理的薄弱环节，促进其改进和创新管理方式，提高管理效能和管理质量。同时，发现单位在提供公共服务方面存在的短板和不足，为有效提高财政资金配置水平和提升政府公共服务质量做出积极探索。</w:t>
      </w:r>
    </w:p>
    <w:p w14:paraId="50AABC2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单位整体绩效评价更加关注单位财政资金的预算安排的合理性和整体效益，例如，资金结构与单位职能的匹配程度、预算规模对单位绩效目标实现的保障水平、资金的支出与单位所提供的公共服务的支持程度等，因此，单位整体绩效评价的覆盖面更广、层次更深，更能综合反映单位财政资金的综合效益。</w:t>
      </w:r>
    </w:p>
    <w:p w14:paraId="40FFFCDA">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39" w:name="_Toc6056"/>
      <w:bookmarkStart w:id="40" w:name="_Toc113465533"/>
      <w:r>
        <w:rPr>
          <w:rFonts w:hint="eastAsia" w:ascii="方正仿宋_GB2312" w:hAnsi="方正仿宋_GB2312" w:eastAsia="方正仿宋_GB2312" w:cs="方正仿宋_GB2312"/>
          <w:b/>
          <w:bCs/>
          <w:kern w:val="0"/>
          <w:sz w:val="28"/>
          <w:szCs w:val="28"/>
        </w:rPr>
        <w:t>（二）评价依据</w:t>
      </w:r>
      <w:bookmarkEnd w:id="39"/>
      <w:bookmarkEnd w:id="40"/>
    </w:p>
    <w:p w14:paraId="3794203F">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1.《财政支出绩效评价管理暂行办法》（财预〔2011〕285号）</w:t>
      </w:r>
    </w:p>
    <w:p w14:paraId="48A5DDB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2.《关于推进预算绩效管理的指导意见》（财预〔2011〕416号）</w:t>
      </w:r>
    </w:p>
    <w:p w14:paraId="1E3689BF">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3.《关于贯彻落实〈中共中央 国务院关于全面实施预算绩效管理的意见〉的通知》（财预〔2018〕167号）</w:t>
      </w:r>
    </w:p>
    <w:p w14:paraId="2D4F31F0">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4.《中共江苏省委 江苏省人民政府关于全面实施绩效管理的实施意见》（苏发〔2019〕6号）</w:t>
      </w:r>
    </w:p>
    <w:p w14:paraId="523B9DF3">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5.《南京市级财政预算绩效管理办法》（苏发〔2015〕1号）</w:t>
      </w:r>
    </w:p>
    <w:p w14:paraId="54276458">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6.《南京市人民政府关于印发南京市政府部门绩效管理暂行办法的通知》</w:t>
      </w:r>
      <w:bookmarkStart w:id="41" w:name="OLE_LINK1"/>
      <w:r>
        <w:rPr>
          <w:rFonts w:hint="eastAsia" w:ascii="方正仿宋_GB2312" w:hAnsi="方正仿宋_GB2312" w:eastAsia="方正仿宋_GB2312" w:cs="方正仿宋_GB2312"/>
          <w:sz w:val="28"/>
          <w:szCs w:val="28"/>
        </w:rPr>
        <w:t>（宁政发〔2012〕349号）</w:t>
      </w:r>
    </w:p>
    <w:bookmarkEnd w:id="41"/>
    <w:p w14:paraId="0641617C">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7.《南京市市级财政预算绩效评价操作规程（试行）》（宁财绩〔2020〕260号）</w:t>
      </w:r>
    </w:p>
    <w:p w14:paraId="15457989">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8.《关于印发2024年南京市市级预算部门（单位）绩效管理工作要求的通知》（宁财绩〔2024〕72号）</w:t>
      </w:r>
    </w:p>
    <w:p w14:paraId="25544C0C">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42" w:name="_Toc30908"/>
      <w:bookmarkStart w:id="43" w:name="_Toc113465534"/>
      <w:r>
        <w:rPr>
          <w:rFonts w:hint="eastAsia" w:ascii="方正仿宋_GB2312" w:hAnsi="方正仿宋_GB2312" w:eastAsia="方正仿宋_GB2312" w:cs="方正仿宋_GB2312"/>
          <w:b/>
          <w:bCs/>
          <w:kern w:val="0"/>
          <w:sz w:val="28"/>
          <w:szCs w:val="28"/>
        </w:rPr>
        <w:t>（三）评价原则</w:t>
      </w:r>
      <w:bookmarkEnd w:id="42"/>
      <w:bookmarkEnd w:id="43"/>
    </w:p>
    <w:p w14:paraId="2DF62295">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运用成本效益分析法、因素分析法、专家评审法等方法，具体通过文献梳理、调研访谈、制定评价指标和标准、数据采集、问卷调查等方式进行部门整体绩效综合评价。评价指标采取定量与定性相结合、优先定量的原则。</w:t>
      </w:r>
    </w:p>
    <w:p w14:paraId="569966C6">
      <w:pPr>
        <w:spacing w:line="560" w:lineRule="exact"/>
        <w:ind w:firstLine="562" w:firstLineChars="200"/>
        <w:outlineLvl w:val="1"/>
        <w:rPr>
          <w:rFonts w:hint="eastAsia" w:ascii="方正仿宋_GB2312" w:hAnsi="方正仿宋_GB2312" w:eastAsia="方正仿宋_GB2312" w:cs="方正仿宋_GB2312"/>
          <w:b/>
          <w:bCs/>
          <w:kern w:val="0"/>
          <w:sz w:val="28"/>
          <w:szCs w:val="28"/>
        </w:rPr>
      </w:pPr>
      <w:bookmarkStart w:id="44" w:name="_Toc15080"/>
      <w:r>
        <w:rPr>
          <w:rFonts w:hint="eastAsia" w:ascii="方正仿宋_GB2312" w:hAnsi="方正仿宋_GB2312" w:eastAsia="方正仿宋_GB2312" w:cs="方正仿宋_GB2312"/>
          <w:b/>
          <w:bCs/>
          <w:kern w:val="0"/>
          <w:sz w:val="28"/>
          <w:szCs w:val="28"/>
        </w:rPr>
        <w:t>（四）评价指标体系</w:t>
      </w:r>
      <w:bookmarkEnd w:id="44"/>
    </w:p>
    <w:p w14:paraId="5608A00E">
      <w:pPr>
        <w:spacing w:line="560" w:lineRule="exact"/>
        <w:ind w:firstLine="560" w:firstLineChars="20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次绩效评价指标体系分为三级指标。一级指标包括部门决策、过程、履职、效益及满意度五大部分。采用定性和定量相结合的方式，向下分解细化为14个二级指标，39个三级指标，并按照各项指标考察的范围和重要性设置不同的标准值和权值，形成了本次绩效评价的指标体系。评分情况详见附件《2024年度南京市节能技术服务中心部门整体绩效自评价表》。</w:t>
      </w:r>
    </w:p>
    <w:p w14:paraId="23F12908">
      <w:pPr>
        <w:spacing w:line="560" w:lineRule="exact"/>
        <w:jc w:val="left"/>
        <w:rPr>
          <w:rFonts w:hint="eastAsia" w:ascii="方正仿宋_GB2312" w:hAnsi="方正仿宋_GB2312" w:eastAsia="方正仿宋_GB2312" w:cs="方正仿宋_GB2312"/>
          <w:sz w:val="28"/>
          <w:szCs w:val="28"/>
        </w:rPr>
      </w:pPr>
    </w:p>
    <w:p w14:paraId="75BFD99E">
      <w:pPr>
        <w:spacing w:line="560" w:lineRule="exact"/>
        <w:ind w:firstLine="560" w:firstLineChars="200"/>
        <w:jc w:val="left"/>
        <w:outlineLvl w:val="1"/>
        <w:rPr>
          <w:rFonts w:hint="eastAsia" w:ascii="方正仿宋_GB2312" w:hAnsi="方正仿宋_GB2312" w:eastAsia="方正仿宋_GB2312" w:cs="方正仿宋_GB2312"/>
          <w:sz w:val="28"/>
          <w:szCs w:val="28"/>
        </w:rPr>
      </w:pPr>
      <w:bookmarkStart w:id="45" w:name="_Toc22944"/>
      <w:r>
        <w:rPr>
          <w:rFonts w:hint="eastAsia" w:ascii="方正仿宋_GB2312" w:hAnsi="方正仿宋_GB2312" w:eastAsia="方正仿宋_GB2312" w:cs="方正仿宋_GB2312"/>
          <w:sz w:val="28"/>
          <w:szCs w:val="28"/>
        </w:rPr>
        <w:t>附件：《2024年度南京市节能技术服务中心部门整体绩效自评价表》</w:t>
      </w:r>
      <w:bookmarkEnd w:id="45"/>
    </w:p>
    <w:p w14:paraId="5C0C67B3">
      <w:pPr>
        <w:outlineLvl w:val="1"/>
        <w:rPr>
          <w:rFonts w:hint="eastAsia" w:ascii="方正仿宋_GB2312" w:hAnsi="方正仿宋_GB2312" w:eastAsia="方正仿宋_GB2312" w:cs="方正仿宋_GB2312"/>
        </w:rPr>
        <w:sectPr>
          <w:footerReference r:id="rId5" w:type="default"/>
          <w:pgSz w:w="11906" w:h="16838"/>
          <w:pgMar w:top="1440" w:right="1803" w:bottom="1440" w:left="1803" w:header="851" w:footer="992" w:gutter="0"/>
          <w:pgNumType w:start="1"/>
          <w:cols w:space="0" w:num="1"/>
          <w:docGrid w:type="lines" w:linePitch="312" w:charSpace="0"/>
        </w:sectPr>
      </w:pPr>
    </w:p>
    <w:tbl>
      <w:tblPr>
        <w:tblStyle w:val="15"/>
        <w:tblpPr w:leftFromText="180" w:rightFromText="180" w:vertAnchor="text" w:horzAnchor="page" w:tblpX="1430" w:tblpY="1099"/>
        <w:tblOverlap w:val="never"/>
        <w:tblW w:w="5000" w:type="pct"/>
        <w:tblInd w:w="0" w:type="dxa"/>
        <w:tblLayout w:type="autofit"/>
        <w:tblCellMar>
          <w:top w:w="0" w:type="dxa"/>
          <w:left w:w="108" w:type="dxa"/>
          <w:bottom w:w="0" w:type="dxa"/>
          <w:right w:w="108" w:type="dxa"/>
        </w:tblCellMar>
      </w:tblPr>
      <w:tblGrid>
        <w:gridCol w:w="901"/>
        <w:gridCol w:w="1001"/>
        <w:gridCol w:w="2455"/>
        <w:gridCol w:w="1313"/>
        <w:gridCol w:w="998"/>
        <w:gridCol w:w="4114"/>
        <w:gridCol w:w="1180"/>
        <w:gridCol w:w="896"/>
        <w:gridCol w:w="1316"/>
      </w:tblGrid>
      <w:tr w14:paraId="255D9FD1">
        <w:tblPrEx>
          <w:tblCellMar>
            <w:top w:w="0" w:type="dxa"/>
            <w:left w:w="108" w:type="dxa"/>
            <w:bottom w:w="0" w:type="dxa"/>
            <w:right w:w="108" w:type="dxa"/>
          </w:tblCellMar>
        </w:tblPrEx>
        <w:trPr>
          <w:trHeight w:val="600" w:hRule="atLeast"/>
          <w:tblHeader/>
        </w:trPr>
        <w:tc>
          <w:tcPr>
            <w:tcW w:w="4535" w:type="pct"/>
            <w:gridSpan w:val="8"/>
            <w:tcBorders>
              <w:top w:val="nil"/>
              <w:left w:val="nil"/>
              <w:bottom w:val="nil"/>
              <w:right w:val="nil"/>
            </w:tcBorders>
            <w:vAlign w:val="center"/>
          </w:tcPr>
          <w:p w14:paraId="62F32E0B">
            <w:pPr>
              <w:widowControl/>
              <w:jc w:val="center"/>
              <w:textAlignment w:val="center"/>
              <w:rPr>
                <w:rFonts w:hint="eastAsia" w:asciiTheme="minorEastAsia" w:hAnsiTheme="minorEastAsia" w:eastAsiaTheme="minorEastAsia" w:cstheme="minorEastAsia"/>
                <w:b/>
                <w:bCs/>
                <w:sz w:val="13"/>
                <w:szCs w:val="13"/>
              </w:rPr>
            </w:pPr>
            <w:r>
              <w:rPr>
                <w:rFonts w:hint="eastAsia" w:ascii="方正仿宋_GB2312" w:hAnsi="方正仿宋_GB2312" w:eastAsia="方正仿宋_GB2312" w:cs="方正仿宋_GB2312"/>
                <w:b/>
                <w:bCs/>
                <w:kern w:val="0"/>
                <w:sz w:val="28"/>
                <w:szCs w:val="28"/>
                <w:lang w:bidi="ar"/>
              </w:rPr>
              <w:t>2024年度南京市节能技术服务中心部门整体绩效自评价表</w:t>
            </w:r>
          </w:p>
        </w:tc>
        <w:tc>
          <w:tcPr>
            <w:tcW w:w="464" w:type="pct"/>
            <w:tcBorders>
              <w:top w:val="nil"/>
              <w:left w:val="nil"/>
              <w:bottom w:val="nil"/>
              <w:right w:val="nil"/>
            </w:tcBorders>
            <w:vAlign w:val="center"/>
          </w:tcPr>
          <w:p w14:paraId="263A4B0B">
            <w:pPr>
              <w:widowControl/>
              <w:jc w:val="center"/>
              <w:textAlignment w:val="center"/>
              <w:rPr>
                <w:rFonts w:hint="eastAsia" w:ascii="方正仿宋_GB2312" w:hAnsi="方正仿宋_GB2312" w:eastAsia="方正仿宋_GB2312" w:cs="方正仿宋_GB2312"/>
                <w:b/>
                <w:bCs/>
                <w:kern w:val="0"/>
                <w:sz w:val="28"/>
                <w:szCs w:val="28"/>
                <w:lang w:bidi="ar"/>
              </w:rPr>
            </w:pPr>
          </w:p>
        </w:tc>
      </w:tr>
      <w:tr w14:paraId="1041C212">
        <w:tblPrEx>
          <w:tblCellMar>
            <w:top w:w="0" w:type="dxa"/>
            <w:left w:w="108" w:type="dxa"/>
            <w:bottom w:w="0" w:type="dxa"/>
            <w:right w:w="108" w:type="dxa"/>
          </w:tblCellMar>
        </w:tblPrEx>
        <w:trPr>
          <w:trHeight w:val="600" w:hRule="atLeast"/>
          <w:tblHeader/>
        </w:trPr>
        <w:tc>
          <w:tcPr>
            <w:tcW w:w="318" w:type="pct"/>
            <w:tcBorders>
              <w:top w:val="single" w:color="000000" w:sz="4" w:space="0"/>
              <w:left w:val="single" w:color="000000" w:sz="4" w:space="0"/>
              <w:bottom w:val="single" w:color="000000" w:sz="4" w:space="0"/>
              <w:right w:val="single" w:color="000000" w:sz="4" w:space="0"/>
            </w:tcBorders>
            <w:vAlign w:val="center"/>
          </w:tcPr>
          <w:p w14:paraId="13C8DEF5">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一级指标</w:t>
            </w:r>
          </w:p>
        </w:tc>
        <w:tc>
          <w:tcPr>
            <w:tcW w:w="353" w:type="pct"/>
            <w:tcBorders>
              <w:top w:val="single" w:color="000000" w:sz="4" w:space="0"/>
              <w:left w:val="single" w:color="000000" w:sz="4" w:space="0"/>
              <w:bottom w:val="single" w:color="000000" w:sz="4" w:space="0"/>
              <w:right w:val="single" w:color="000000" w:sz="4" w:space="0"/>
            </w:tcBorders>
            <w:vAlign w:val="center"/>
          </w:tcPr>
          <w:p w14:paraId="1C1E222A">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二级指标</w:t>
            </w:r>
          </w:p>
        </w:tc>
        <w:tc>
          <w:tcPr>
            <w:tcW w:w="866" w:type="pct"/>
            <w:tcBorders>
              <w:top w:val="single" w:color="000000" w:sz="4" w:space="0"/>
              <w:left w:val="single" w:color="000000" w:sz="4" w:space="0"/>
              <w:bottom w:val="single" w:color="000000" w:sz="4" w:space="0"/>
              <w:right w:val="single" w:color="000000" w:sz="4" w:space="0"/>
            </w:tcBorders>
            <w:vAlign w:val="center"/>
          </w:tcPr>
          <w:p w14:paraId="4B1171D6">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三级指标</w:t>
            </w:r>
          </w:p>
        </w:tc>
        <w:tc>
          <w:tcPr>
            <w:tcW w:w="462" w:type="pct"/>
            <w:tcBorders>
              <w:top w:val="single" w:color="000000" w:sz="4" w:space="0"/>
              <w:left w:val="single" w:color="000000" w:sz="4" w:space="0"/>
              <w:bottom w:val="single" w:color="000000" w:sz="4" w:space="0"/>
              <w:right w:val="single" w:color="000000" w:sz="4" w:space="0"/>
            </w:tcBorders>
            <w:vAlign w:val="center"/>
          </w:tcPr>
          <w:p w14:paraId="7748EAA4">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全年指标值</w:t>
            </w:r>
          </w:p>
        </w:tc>
        <w:tc>
          <w:tcPr>
            <w:tcW w:w="352" w:type="pct"/>
            <w:tcBorders>
              <w:top w:val="single" w:color="000000" w:sz="4" w:space="0"/>
              <w:left w:val="single" w:color="000000" w:sz="4" w:space="0"/>
              <w:bottom w:val="single" w:color="000000" w:sz="4" w:space="0"/>
              <w:right w:val="single" w:color="000000" w:sz="4" w:space="0"/>
            </w:tcBorders>
            <w:vAlign w:val="center"/>
          </w:tcPr>
          <w:p w14:paraId="435E95DB">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分值</w:t>
            </w:r>
          </w:p>
        </w:tc>
        <w:tc>
          <w:tcPr>
            <w:tcW w:w="1451" w:type="pct"/>
            <w:tcBorders>
              <w:top w:val="single" w:color="000000" w:sz="4" w:space="0"/>
              <w:left w:val="single" w:color="000000" w:sz="4" w:space="0"/>
              <w:bottom w:val="single" w:color="000000" w:sz="4" w:space="0"/>
              <w:right w:val="single" w:color="000000" w:sz="4" w:space="0"/>
            </w:tcBorders>
            <w:vAlign w:val="center"/>
          </w:tcPr>
          <w:p w14:paraId="1EA7CB33">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评价要点及评分规则</w:t>
            </w:r>
          </w:p>
        </w:tc>
        <w:tc>
          <w:tcPr>
            <w:tcW w:w="416" w:type="pct"/>
            <w:tcBorders>
              <w:top w:val="single" w:color="000000" w:sz="4" w:space="0"/>
              <w:left w:val="single" w:color="000000" w:sz="4" w:space="0"/>
              <w:bottom w:val="single" w:color="000000" w:sz="4" w:space="0"/>
              <w:right w:val="single" w:color="000000" w:sz="4" w:space="0"/>
            </w:tcBorders>
            <w:vAlign w:val="center"/>
          </w:tcPr>
          <w:p w14:paraId="262B38CC">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实际完成值</w:t>
            </w:r>
          </w:p>
        </w:tc>
        <w:tc>
          <w:tcPr>
            <w:tcW w:w="316" w:type="pct"/>
            <w:tcBorders>
              <w:top w:val="single" w:color="000000" w:sz="4" w:space="0"/>
              <w:left w:val="single" w:color="000000" w:sz="4" w:space="0"/>
              <w:bottom w:val="single" w:color="000000" w:sz="4" w:space="0"/>
              <w:right w:val="single" w:color="000000" w:sz="4" w:space="0"/>
            </w:tcBorders>
            <w:vAlign w:val="center"/>
          </w:tcPr>
          <w:p w14:paraId="632EB8B5">
            <w:pPr>
              <w:widowControl/>
              <w:jc w:val="center"/>
              <w:textAlignment w:val="center"/>
              <w:rPr>
                <w:rFonts w:hint="eastAsia" w:asciiTheme="minorEastAsia" w:hAnsiTheme="minorEastAsia" w:eastAsiaTheme="minorEastAsia" w:cstheme="minorEastAsia"/>
                <w:b/>
                <w:bCs/>
                <w:sz w:val="15"/>
                <w:szCs w:val="15"/>
              </w:rPr>
            </w:pPr>
            <w:r>
              <w:rPr>
                <w:rFonts w:hint="eastAsia" w:asciiTheme="minorEastAsia" w:hAnsiTheme="minorEastAsia" w:eastAsiaTheme="minorEastAsia" w:cstheme="minorEastAsia"/>
                <w:b/>
                <w:bCs/>
                <w:kern w:val="0"/>
                <w:sz w:val="15"/>
                <w:szCs w:val="15"/>
                <w:lang w:bidi="ar"/>
              </w:rPr>
              <w:t>得分</w:t>
            </w:r>
          </w:p>
        </w:tc>
        <w:tc>
          <w:tcPr>
            <w:tcW w:w="464" w:type="pct"/>
            <w:tcBorders>
              <w:top w:val="single" w:color="000000" w:sz="4" w:space="0"/>
              <w:left w:val="single" w:color="000000" w:sz="4" w:space="0"/>
              <w:bottom w:val="single" w:color="000000" w:sz="4" w:space="0"/>
              <w:right w:val="single" w:color="000000" w:sz="4" w:space="0"/>
            </w:tcBorders>
            <w:vAlign w:val="center"/>
          </w:tcPr>
          <w:p w14:paraId="1270E65A">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b/>
                <w:bCs/>
                <w:kern w:val="0"/>
                <w:sz w:val="15"/>
                <w:szCs w:val="15"/>
                <w:lang w:bidi="ar"/>
              </w:rPr>
              <w:t>备注</w:t>
            </w:r>
          </w:p>
        </w:tc>
      </w:tr>
      <w:tr w14:paraId="38E4185D">
        <w:tblPrEx>
          <w:tblCellMar>
            <w:top w:w="0" w:type="dxa"/>
            <w:left w:w="108" w:type="dxa"/>
            <w:bottom w:w="0" w:type="dxa"/>
            <w:right w:w="108" w:type="dxa"/>
          </w:tblCellMar>
        </w:tblPrEx>
        <w:trPr>
          <w:trHeight w:val="2160" w:hRule="atLeast"/>
        </w:trPr>
        <w:tc>
          <w:tcPr>
            <w:tcW w:w="318" w:type="pct"/>
            <w:vMerge w:val="restart"/>
            <w:tcBorders>
              <w:top w:val="single" w:color="000000" w:sz="4" w:space="0"/>
              <w:left w:val="single" w:color="000000" w:sz="4" w:space="0"/>
              <w:bottom w:val="single" w:color="000000" w:sz="4" w:space="0"/>
              <w:right w:val="single" w:color="000000" w:sz="4" w:space="0"/>
            </w:tcBorders>
            <w:vAlign w:val="center"/>
          </w:tcPr>
          <w:p w14:paraId="45BEE8E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部门决策（6）</w:t>
            </w:r>
          </w:p>
        </w:tc>
        <w:tc>
          <w:tcPr>
            <w:tcW w:w="353" w:type="pct"/>
            <w:vMerge w:val="restart"/>
            <w:tcBorders>
              <w:top w:val="single" w:color="000000" w:sz="4" w:space="0"/>
              <w:left w:val="single" w:color="000000" w:sz="4" w:space="0"/>
              <w:bottom w:val="single" w:color="000000" w:sz="4" w:space="0"/>
              <w:right w:val="nil"/>
            </w:tcBorders>
            <w:shd w:val="clear" w:color="auto" w:fill="FFFFFF"/>
            <w:vAlign w:val="center"/>
          </w:tcPr>
          <w:p w14:paraId="47FADBB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计划制定（2）</w:t>
            </w:r>
          </w:p>
        </w:tc>
        <w:tc>
          <w:tcPr>
            <w:tcW w:w="866" w:type="pct"/>
            <w:tcBorders>
              <w:top w:val="single" w:color="000000" w:sz="4" w:space="0"/>
              <w:left w:val="single" w:color="000000" w:sz="4" w:space="0"/>
              <w:bottom w:val="single" w:color="000000" w:sz="4" w:space="0"/>
              <w:right w:val="single" w:color="000000" w:sz="4" w:space="0"/>
            </w:tcBorders>
            <w:vAlign w:val="center"/>
          </w:tcPr>
          <w:p w14:paraId="7DCC9D0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工作计划健全性</w:t>
            </w:r>
          </w:p>
        </w:tc>
        <w:tc>
          <w:tcPr>
            <w:tcW w:w="462" w:type="pct"/>
            <w:tcBorders>
              <w:top w:val="single" w:color="000000" w:sz="4" w:space="0"/>
              <w:left w:val="single" w:color="000000" w:sz="4" w:space="0"/>
              <w:bottom w:val="single" w:color="000000" w:sz="4" w:space="0"/>
              <w:right w:val="single" w:color="000000" w:sz="4" w:space="0"/>
            </w:tcBorders>
            <w:vAlign w:val="center"/>
          </w:tcPr>
          <w:p w14:paraId="2DB003C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548EEAF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9D84273">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制定了明确的年度工作计划，包括总体目标、实施内容、时间、资金、人员等；②年度工作计划是否具体、可操作；③年度工作计划是否与部门职能相匹配；④年度工作计划是否与部门中长期战略相衔接。</w:t>
            </w:r>
          </w:p>
          <w:p w14:paraId="4879E4E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评分规则：以上评价要点各占1/4分值，每个要点执行情况分为达成、部分达成、未达成三档，分别按分值的100%-80%（含）、80%-60%（含）、60%-0%合理确定分值。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074F7BC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0F4CB04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C12661D">
            <w:pPr>
              <w:widowControl/>
              <w:jc w:val="center"/>
              <w:textAlignment w:val="center"/>
              <w:rPr>
                <w:rFonts w:hint="eastAsia" w:asciiTheme="minorEastAsia" w:hAnsiTheme="minorEastAsia" w:eastAsiaTheme="minorEastAsia" w:cstheme="minorEastAsia"/>
                <w:kern w:val="0"/>
                <w:sz w:val="15"/>
                <w:szCs w:val="15"/>
                <w:lang w:bidi="ar"/>
              </w:rPr>
            </w:pPr>
          </w:p>
        </w:tc>
      </w:tr>
      <w:tr w14:paraId="2CE3C1D5">
        <w:tblPrEx>
          <w:tblCellMar>
            <w:top w:w="0" w:type="dxa"/>
            <w:left w:w="108" w:type="dxa"/>
            <w:bottom w:w="0" w:type="dxa"/>
            <w:right w:w="108" w:type="dxa"/>
          </w:tblCellMar>
        </w:tblPrEx>
        <w:trPr>
          <w:trHeight w:val="18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2187799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auto" w:sz="4" w:space="0"/>
              <w:right w:val="nil"/>
            </w:tcBorders>
            <w:shd w:val="clear" w:color="auto" w:fill="FFFFFF"/>
            <w:vAlign w:val="center"/>
          </w:tcPr>
          <w:p w14:paraId="655116A2">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72DE313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中长期规划健全性</w:t>
            </w:r>
          </w:p>
        </w:tc>
        <w:tc>
          <w:tcPr>
            <w:tcW w:w="462" w:type="pct"/>
            <w:tcBorders>
              <w:top w:val="nil"/>
              <w:left w:val="single" w:color="000000" w:sz="4" w:space="0"/>
              <w:bottom w:val="single" w:color="auto" w:sz="4" w:space="0"/>
              <w:right w:val="single" w:color="000000" w:sz="4" w:space="0"/>
            </w:tcBorders>
            <w:vAlign w:val="center"/>
          </w:tcPr>
          <w:p w14:paraId="51123E0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nil"/>
              <w:left w:val="single" w:color="000000" w:sz="4" w:space="0"/>
              <w:bottom w:val="single" w:color="auto" w:sz="4" w:space="0"/>
              <w:right w:val="single" w:color="000000" w:sz="4" w:space="0"/>
            </w:tcBorders>
            <w:vAlign w:val="center"/>
          </w:tcPr>
          <w:p w14:paraId="43E27DE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nil"/>
              <w:left w:val="single" w:color="000000" w:sz="4" w:space="0"/>
              <w:bottom w:val="single" w:color="auto" w:sz="4" w:space="0"/>
              <w:right w:val="single" w:color="000000" w:sz="4" w:space="0"/>
            </w:tcBorders>
            <w:vAlign w:val="center"/>
          </w:tcPr>
          <w:p w14:paraId="63055F02">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评价要点：①是否制定了明确的中长期规划，包括总体目标、工作内容、时间进度等；②中长期规划是否涵盖了部门全部职能，并与部门职能相匹配。</w:t>
            </w:r>
          </w:p>
          <w:p w14:paraId="601ACA3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nil"/>
              <w:left w:val="single" w:color="000000" w:sz="4" w:space="0"/>
              <w:bottom w:val="single" w:color="000000" w:sz="4" w:space="0"/>
              <w:right w:val="single" w:color="000000" w:sz="4" w:space="0"/>
            </w:tcBorders>
            <w:vAlign w:val="center"/>
          </w:tcPr>
          <w:p w14:paraId="7ECD38F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nil"/>
              <w:left w:val="single" w:color="000000" w:sz="4" w:space="0"/>
              <w:bottom w:val="single" w:color="000000" w:sz="4" w:space="0"/>
              <w:right w:val="single" w:color="000000" w:sz="4" w:space="0"/>
            </w:tcBorders>
            <w:vAlign w:val="center"/>
          </w:tcPr>
          <w:p w14:paraId="220F150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nil"/>
              <w:left w:val="single" w:color="000000" w:sz="4" w:space="0"/>
              <w:bottom w:val="single" w:color="000000" w:sz="4" w:space="0"/>
              <w:right w:val="single" w:color="000000" w:sz="4" w:space="0"/>
            </w:tcBorders>
            <w:vAlign w:val="center"/>
          </w:tcPr>
          <w:p w14:paraId="37A76BEA">
            <w:pPr>
              <w:widowControl/>
              <w:jc w:val="center"/>
              <w:textAlignment w:val="center"/>
              <w:rPr>
                <w:rFonts w:hint="eastAsia" w:asciiTheme="minorEastAsia" w:hAnsiTheme="minorEastAsia" w:eastAsiaTheme="minorEastAsia" w:cstheme="minorEastAsia"/>
                <w:kern w:val="0"/>
                <w:sz w:val="15"/>
                <w:szCs w:val="15"/>
                <w:lang w:bidi="ar"/>
              </w:rPr>
            </w:pPr>
          </w:p>
        </w:tc>
      </w:tr>
      <w:tr w14:paraId="711A7AB0">
        <w:tblPrEx>
          <w:tblCellMar>
            <w:top w:w="0" w:type="dxa"/>
            <w:left w:w="108" w:type="dxa"/>
            <w:bottom w:w="0" w:type="dxa"/>
            <w:right w:w="108" w:type="dxa"/>
          </w:tblCellMar>
        </w:tblPrEx>
        <w:trPr>
          <w:trHeight w:val="218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388FC958">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nil"/>
              <w:right w:val="nil"/>
            </w:tcBorders>
            <w:shd w:val="clear" w:color="auto" w:fill="FFFFFF"/>
            <w:vAlign w:val="center"/>
          </w:tcPr>
          <w:p w14:paraId="7F2BFAF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目标设定（2）</w:t>
            </w:r>
          </w:p>
        </w:tc>
        <w:tc>
          <w:tcPr>
            <w:tcW w:w="866" w:type="pct"/>
            <w:tcBorders>
              <w:top w:val="single" w:color="auto" w:sz="4" w:space="0"/>
              <w:left w:val="single" w:color="000000" w:sz="4" w:space="0"/>
              <w:bottom w:val="single" w:color="000000" w:sz="4" w:space="0"/>
              <w:right w:val="single" w:color="000000" w:sz="4" w:space="0"/>
            </w:tcBorders>
            <w:vAlign w:val="center"/>
          </w:tcPr>
          <w:p w14:paraId="55472F2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绩效目标合理性</w:t>
            </w:r>
          </w:p>
        </w:tc>
        <w:tc>
          <w:tcPr>
            <w:tcW w:w="462" w:type="pct"/>
            <w:tcBorders>
              <w:top w:val="single" w:color="auto" w:sz="4" w:space="0"/>
              <w:left w:val="single" w:color="000000" w:sz="4" w:space="0"/>
              <w:bottom w:val="single" w:color="000000" w:sz="4" w:space="0"/>
              <w:right w:val="single" w:color="000000" w:sz="4" w:space="0"/>
            </w:tcBorders>
            <w:vAlign w:val="center"/>
          </w:tcPr>
          <w:p w14:paraId="26E8637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合理</w:t>
            </w:r>
          </w:p>
        </w:tc>
        <w:tc>
          <w:tcPr>
            <w:tcW w:w="352" w:type="pct"/>
            <w:tcBorders>
              <w:top w:val="single" w:color="auto" w:sz="4" w:space="0"/>
              <w:left w:val="single" w:color="000000" w:sz="4" w:space="0"/>
              <w:bottom w:val="single" w:color="000000" w:sz="4" w:space="0"/>
              <w:right w:val="single" w:color="000000" w:sz="4" w:space="0"/>
            </w:tcBorders>
            <w:vAlign w:val="center"/>
          </w:tcPr>
          <w:p w14:paraId="3C3C17C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auto" w:sz="4" w:space="0"/>
            </w:tcBorders>
            <w:vAlign w:val="center"/>
          </w:tcPr>
          <w:p w14:paraId="686927CC">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评价要点：①是否符合国家法律法规、国民经济和社会发展总体规划、部门“三定”方案确定的职责；②是否符合部门制定的中长期规划和年度工作计划；③是否与本年度部门预算资金相匹配。</w:t>
            </w:r>
          </w:p>
          <w:p w14:paraId="2528BCA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26D998E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合理</w:t>
            </w:r>
          </w:p>
        </w:tc>
        <w:tc>
          <w:tcPr>
            <w:tcW w:w="316" w:type="pct"/>
            <w:tcBorders>
              <w:top w:val="single" w:color="000000" w:sz="4" w:space="0"/>
              <w:left w:val="single" w:color="000000" w:sz="4" w:space="0"/>
              <w:bottom w:val="single" w:color="000000" w:sz="4" w:space="0"/>
              <w:right w:val="single" w:color="000000" w:sz="4" w:space="0"/>
            </w:tcBorders>
            <w:vAlign w:val="center"/>
          </w:tcPr>
          <w:p w14:paraId="04CB87A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F209C57">
            <w:pPr>
              <w:widowControl/>
              <w:jc w:val="center"/>
              <w:textAlignment w:val="center"/>
              <w:rPr>
                <w:rFonts w:hint="eastAsia" w:asciiTheme="minorEastAsia" w:hAnsiTheme="minorEastAsia" w:eastAsiaTheme="minorEastAsia" w:cstheme="minorEastAsia"/>
                <w:kern w:val="0"/>
                <w:sz w:val="15"/>
                <w:szCs w:val="15"/>
                <w:lang w:bidi="ar"/>
              </w:rPr>
            </w:pPr>
          </w:p>
        </w:tc>
      </w:tr>
      <w:tr w14:paraId="7961746B">
        <w:tblPrEx>
          <w:tblCellMar>
            <w:top w:w="0" w:type="dxa"/>
            <w:left w:w="108" w:type="dxa"/>
            <w:bottom w:w="0" w:type="dxa"/>
            <w:right w:w="108" w:type="dxa"/>
          </w:tblCellMar>
        </w:tblPrEx>
        <w:trPr>
          <w:trHeight w:val="200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1FE19DE9">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nil"/>
              <w:right w:val="nil"/>
            </w:tcBorders>
            <w:shd w:val="clear" w:color="auto" w:fill="FFFFFF"/>
            <w:vAlign w:val="center"/>
          </w:tcPr>
          <w:p w14:paraId="2D73C3BF">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4D29308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绩效指标明确性</w:t>
            </w:r>
          </w:p>
        </w:tc>
        <w:tc>
          <w:tcPr>
            <w:tcW w:w="462" w:type="pct"/>
            <w:tcBorders>
              <w:top w:val="single" w:color="000000" w:sz="4" w:space="0"/>
              <w:left w:val="single" w:color="000000" w:sz="4" w:space="0"/>
              <w:bottom w:val="single" w:color="000000" w:sz="4" w:space="0"/>
              <w:right w:val="single" w:color="000000" w:sz="4" w:space="0"/>
            </w:tcBorders>
            <w:vAlign w:val="center"/>
          </w:tcPr>
          <w:p w14:paraId="4037A97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明确</w:t>
            </w:r>
          </w:p>
        </w:tc>
        <w:tc>
          <w:tcPr>
            <w:tcW w:w="352" w:type="pct"/>
            <w:tcBorders>
              <w:top w:val="single" w:color="000000" w:sz="4" w:space="0"/>
              <w:left w:val="single" w:color="000000" w:sz="4" w:space="0"/>
              <w:bottom w:val="single" w:color="000000" w:sz="4" w:space="0"/>
              <w:right w:val="single" w:color="000000" w:sz="4" w:space="0"/>
            </w:tcBorders>
            <w:vAlign w:val="center"/>
          </w:tcPr>
          <w:p w14:paraId="326C64A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auto" w:sz="4" w:space="0"/>
            </w:tcBorders>
            <w:vAlign w:val="center"/>
          </w:tcPr>
          <w:p w14:paraId="035E96F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评价要点：①是否将部门整体预算绩效目标细化分解为具体的重点工作任务；②部门整体及项目的绩效指标是否清晰，指标值是否量化、可衡量；③是否与年度重点工作任务数相对应，并突出核心绩效指标。</w:t>
            </w:r>
          </w:p>
          <w:p w14:paraId="5ED246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43F945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明确</w:t>
            </w:r>
          </w:p>
        </w:tc>
        <w:tc>
          <w:tcPr>
            <w:tcW w:w="316" w:type="pct"/>
            <w:tcBorders>
              <w:top w:val="single" w:color="000000" w:sz="4" w:space="0"/>
              <w:left w:val="single" w:color="000000" w:sz="4" w:space="0"/>
              <w:bottom w:val="single" w:color="000000" w:sz="4" w:space="0"/>
              <w:right w:val="single" w:color="000000" w:sz="4" w:space="0"/>
            </w:tcBorders>
            <w:vAlign w:val="center"/>
          </w:tcPr>
          <w:p w14:paraId="4CE37C9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E2EEDB1">
            <w:pPr>
              <w:widowControl/>
              <w:jc w:val="center"/>
              <w:textAlignment w:val="center"/>
              <w:rPr>
                <w:rFonts w:hint="eastAsia" w:asciiTheme="minorEastAsia" w:hAnsiTheme="minorEastAsia" w:eastAsiaTheme="minorEastAsia" w:cstheme="minorEastAsia"/>
                <w:kern w:val="0"/>
                <w:sz w:val="15"/>
                <w:szCs w:val="15"/>
                <w:lang w:bidi="ar"/>
              </w:rPr>
            </w:pPr>
          </w:p>
        </w:tc>
      </w:tr>
      <w:tr w14:paraId="11FD8249">
        <w:tblPrEx>
          <w:tblCellMar>
            <w:top w:w="0" w:type="dxa"/>
            <w:left w:w="108" w:type="dxa"/>
            <w:bottom w:w="0" w:type="dxa"/>
            <w:right w:w="108" w:type="dxa"/>
          </w:tblCellMar>
        </w:tblPrEx>
        <w:trPr>
          <w:trHeight w:val="206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2ABC13E6">
            <w:pPr>
              <w:jc w:val="center"/>
              <w:rPr>
                <w:rFonts w:hint="eastAsia" w:asciiTheme="minorEastAsia" w:hAnsiTheme="minorEastAsia" w:eastAsiaTheme="minorEastAsia" w:cstheme="minorEastAsia"/>
                <w:sz w:val="15"/>
                <w:szCs w:val="15"/>
              </w:rPr>
            </w:pPr>
          </w:p>
        </w:tc>
        <w:tc>
          <w:tcPr>
            <w:tcW w:w="353" w:type="pct"/>
            <w:vMerge w:val="restart"/>
            <w:tcBorders>
              <w:top w:val="single" w:color="000000" w:sz="4" w:space="0"/>
              <w:left w:val="single" w:color="auto" w:sz="4" w:space="0"/>
              <w:bottom w:val="single" w:color="auto" w:sz="4" w:space="0"/>
              <w:right w:val="single" w:color="000000" w:sz="4" w:space="0"/>
            </w:tcBorders>
            <w:shd w:val="clear" w:color="auto" w:fill="FFFFFF"/>
            <w:vAlign w:val="center"/>
          </w:tcPr>
          <w:p w14:paraId="0C542F1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预算编制（2）</w:t>
            </w:r>
          </w:p>
        </w:tc>
        <w:tc>
          <w:tcPr>
            <w:tcW w:w="866" w:type="pct"/>
            <w:tcBorders>
              <w:top w:val="single" w:color="000000" w:sz="4" w:space="0"/>
              <w:left w:val="single" w:color="000000" w:sz="4" w:space="0"/>
              <w:bottom w:val="single" w:color="auto" w:sz="4" w:space="0"/>
              <w:right w:val="single" w:color="000000" w:sz="4" w:space="0"/>
            </w:tcBorders>
            <w:vAlign w:val="center"/>
          </w:tcPr>
          <w:p w14:paraId="149FDC6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预算编制科学性</w:t>
            </w:r>
          </w:p>
        </w:tc>
        <w:tc>
          <w:tcPr>
            <w:tcW w:w="462" w:type="pct"/>
            <w:tcBorders>
              <w:top w:val="single" w:color="000000" w:sz="4" w:space="0"/>
              <w:left w:val="single" w:color="000000" w:sz="4" w:space="0"/>
              <w:bottom w:val="single" w:color="auto" w:sz="4" w:space="0"/>
              <w:right w:val="single" w:color="000000" w:sz="4" w:space="0"/>
            </w:tcBorders>
            <w:vAlign w:val="center"/>
          </w:tcPr>
          <w:p w14:paraId="53D71AB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科学</w:t>
            </w:r>
          </w:p>
        </w:tc>
        <w:tc>
          <w:tcPr>
            <w:tcW w:w="352" w:type="pct"/>
            <w:tcBorders>
              <w:top w:val="single" w:color="000000" w:sz="4" w:space="0"/>
              <w:left w:val="single" w:color="000000" w:sz="4" w:space="0"/>
              <w:bottom w:val="single" w:color="auto" w:sz="4" w:space="0"/>
              <w:right w:val="single" w:color="000000" w:sz="4" w:space="0"/>
            </w:tcBorders>
            <w:vAlign w:val="center"/>
          </w:tcPr>
          <w:p w14:paraId="7E29646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auto" w:sz="4" w:space="0"/>
            </w:tcBorders>
            <w:vAlign w:val="center"/>
          </w:tcPr>
          <w:p w14:paraId="14FEAA6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评价要点：①预算编制是否经过科学论证；②预算内容与项目内容是否匹配；③预算额度测算依据是否充分，按照标准编制；④预算确定的项目投资额或资金量是否与工作任务相匹配。</w:t>
            </w:r>
          </w:p>
          <w:p w14:paraId="08DBEE3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评分规则：指标完成情况分为达成、部分达成、未达成三档，分别按指标分值的100%-80%（含）、80%-60%（含）、60%-0%合理确定分值。</w:t>
            </w:r>
          </w:p>
        </w:tc>
        <w:tc>
          <w:tcPr>
            <w:tcW w:w="416" w:type="pct"/>
            <w:tcBorders>
              <w:top w:val="single" w:color="000000" w:sz="4" w:space="0"/>
              <w:left w:val="single" w:color="auto" w:sz="4" w:space="0"/>
              <w:bottom w:val="single" w:color="000000" w:sz="4" w:space="0"/>
              <w:right w:val="single" w:color="000000" w:sz="4" w:space="0"/>
            </w:tcBorders>
            <w:vAlign w:val="center"/>
          </w:tcPr>
          <w:p w14:paraId="784D66D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科学</w:t>
            </w:r>
          </w:p>
        </w:tc>
        <w:tc>
          <w:tcPr>
            <w:tcW w:w="316" w:type="pct"/>
            <w:tcBorders>
              <w:top w:val="single" w:color="000000" w:sz="4" w:space="0"/>
              <w:left w:val="single" w:color="000000" w:sz="4" w:space="0"/>
              <w:bottom w:val="single" w:color="000000" w:sz="4" w:space="0"/>
              <w:right w:val="single" w:color="000000" w:sz="4" w:space="0"/>
            </w:tcBorders>
            <w:vAlign w:val="center"/>
          </w:tcPr>
          <w:p w14:paraId="4C6EA01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B01754A">
            <w:pPr>
              <w:widowControl/>
              <w:jc w:val="center"/>
              <w:textAlignment w:val="center"/>
              <w:rPr>
                <w:rFonts w:hint="eastAsia" w:asciiTheme="minorEastAsia" w:hAnsiTheme="minorEastAsia" w:eastAsiaTheme="minorEastAsia" w:cstheme="minorEastAsia"/>
                <w:kern w:val="0"/>
                <w:sz w:val="15"/>
                <w:szCs w:val="15"/>
                <w:lang w:bidi="ar"/>
              </w:rPr>
            </w:pPr>
          </w:p>
        </w:tc>
      </w:tr>
      <w:tr w14:paraId="4DC0241C">
        <w:tblPrEx>
          <w:tblCellMar>
            <w:top w:w="0" w:type="dxa"/>
            <w:left w:w="108" w:type="dxa"/>
            <w:bottom w:w="0" w:type="dxa"/>
            <w:right w:w="108" w:type="dxa"/>
          </w:tblCellMar>
        </w:tblPrEx>
        <w:trPr>
          <w:trHeight w:val="180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457BDB4C">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nil"/>
              <w:right w:val="single" w:color="000000" w:sz="4" w:space="0"/>
            </w:tcBorders>
            <w:shd w:val="clear" w:color="auto" w:fill="FFFFFF"/>
            <w:vAlign w:val="center"/>
          </w:tcPr>
          <w:p w14:paraId="3B98D5F7">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000000" w:sz="4" w:space="0"/>
              <w:bottom w:val="single" w:color="000000" w:sz="4" w:space="0"/>
              <w:right w:val="single" w:color="000000" w:sz="4" w:space="0"/>
            </w:tcBorders>
            <w:vAlign w:val="center"/>
          </w:tcPr>
          <w:p w14:paraId="7155390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预算编制规范性</w:t>
            </w:r>
          </w:p>
        </w:tc>
        <w:tc>
          <w:tcPr>
            <w:tcW w:w="462" w:type="pct"/>
            <w:tcBorders>
              <w:top w:val="single" w:color="auto" w:sz="4" w:space="0"/>
              <w:left w:val="single" w:color="000000" w:sz="4" w:space="0"/>
              <w:bottom w:val="single" w:color="000000" w:sz="4" w:space="0"/>
              <w:right w:val="single" w:color="000000" w:sz="4" w:space="0"/>
            </w:tcBorders>
            <w:vAlign w:val="center"/>
          </w:tcPr>
          <w:p w14:paraId="6D7982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52" w:type="pct"/>
            <w:tcBorders>
              <w:top w:val="single" w:color="auto" w:sz="4" w:space="0"/>
              <w:left w:val="single" w:color="000000" w:sz="4" w:space="0"/>
              <w:bottom w:val="single" w:color="000000" w:sz="4" w:space="0"/>
              <w:right w:val="single" w:color="000000" w:sz="4" w:space="0"/>
            </w:tcBorders>
            <w:vAlign w:val="center"/>
          </w:tcPr>
          <w:p w14:paraId="6987DB9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000000" w:sz="4" w:space="0"/>
            </w:tcBorders>
            <w:vAlign w:val="center"/>
          </w:tcPr>
          <w:p w14:paraId="1C005586">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评价要点：①预算填报方式是否规范，填报内容是否合理、科学、完整；②是否经预算主管部门集体决策程序（如“三重一大”）。</w:t>
            </w:r>
          </w:p>
          <w:p w14:paraId="53DDC07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评分规则：以上评价要点各占1/2分值，每个要点执行情况分为达成、部分达成、未达成三档，分别按指标分值的100%-80%（含）、80%-60%（含）、60%-0%合理确定分值。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7D2D2CF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16" w:type="pct"/>
            <w:tcBorders>
              <w:top w:val="single" w:color="000000" w:sz="4" w:space="0"/>
              <w:left w:val="single" w:color="000000" w:sz="4" w:space="0"/>
              <w:bottom w:val="single" w:color="000000" w:sz="4" w:space="0"/>
              <w:right w:val="single" w:color="000000" w:sz="4" w:space="0"/>
            </w:tcBorders>
            <w:vAlign w:val="center"/>
          </w:tcPr>
          <w:p w14:paraId="492389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73563870">
            <w:pPr>
              <w:widowControl/>
              <w:jc w:val="center"/>
              <w:textAlignment w:val="center"/>
              <w:rPr>
                <w:rFonts w:hint="eastAsia" w:asciiTheme="minorEastAsia" w:hAnsiTheme="minorEastAsia" w:eastAsiaTheme="minorEastAsia" w:cstheme="minorEastAsia"/>
                <w:kern w:val="0"/>
                <w:sz w:val="15"/>
                <w:szCs w:val="15"/>
                <w:lang w:bidi="ar"/>
              </w:rPr>
            </w:pPr>
          </w:p>
        </w:tc>
      </w:tr>
      <w:tr w14:paraId="632E9DDD">
        <w:tblPrEx>
          <w:tblCellMar>
            <w:top w:w="0" w:type="dxa"/>
            <w:left w:w="108" w:type="dxa"/>
            <w:bottom w:w="0" w:type="dxa"/>
            <w:right w:w="108" w:type="dxa"/>
          </w:tblCellMar>
        </w:tblPrEx>
        <w:trPr>
          <w:trHeight w:val="1820" w:hRule="atLeast"/>
        </w:trPr>
        <w:tc>
          <w:tcPr>
            <w:tcW w:w="318" w:type="pct"/>
            <w:vMerge w:val="restart"/>
            <w:tcBorders>
              <w:top w:val="single" w:color="000000" w:sz="4" w:space="0"/>
              <w:left w:val="single" w:color="000000" w:sz="4" w:space="0"/>
              <w:bottom w:val="single" w:color="000000" w:sz="4" w:space="0"/>
              <w:right w:val="single" w:color="000000" w:sz="4" w:space="0"/>
            </w:tcBorders>
            <w:vAlign w:val="center"/>
          </w:tcPr>
          <w:p w14:paraId="5F36371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过程（30）</w:t>
            </w:r>
          </w:p>
        </w:tc>
        <w:tc>
          <w:tcPr>
            <w:tcW w:w="353" w:type="pct"/>
            <w:vMerge w:val="restart"/>
            <w:tcBorders>
              <w:top w:val="single" w:color="000000" w:sz="4" w:space="0"/>
              <w:left w:val="single" w:color="000000" w:sz="4" w:space="0"/>
              <w:bottom w:val="single" w:color="000000" w:sz="4" w:space="0"/>
              <w:right w:val="single" w:color="000000" w:sz="4" w:space="0"/>
            </w:tcBorders>
            <w:vAlign w:val="center"/>
          </w:tcPr>
          <w:p w14:paraId="3DEC3CE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预算执行（10）</w:t>
            </w:r>
          </w:p>
        </w:tc>
        <w:tc>
          <w:tcPr>
            <w:tcW w:w="866" w:type="pct"/>
            <w:tcBorders>
              <w:top w:val="single" w:color="000000" w:sz="4" w:space="0"/>
              <w:left w:val="single" w:color="000000" w:sz="4" w:space="0"/>
              <w:bottom w:val="nil"/>
              <w:right w:val="single" w:color="000000" w:sz="4" w:space="0"/>
            </w:tcBorders>
            <w:vAlign w:val="center"/>
          </w:tcPr>
          <w:p w14:paraId="2AEA4C8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非税收入预算完成率</w:t>
            </w:r>
          </w:p>
        </w:tc>
        <w:tc>
          <w:tcPr>
            <w:tcW w:w="462" w:type="pct"/>
            <w:tcBorders>
              <w:top w:val="single" w:color="000000" w:sz="4" w:space="0"/>
              <w:left w:val="single" w:color="000000" w:sz="4" w:space="0"/>
              <w:bottom w:val="single" w:color="000000" w:sz="4" w:space="0"/>
              <w:right w:val="single" w:color="000000" w:sz="4" w:space="0"/>
            </w:tcBorders>
            <w:vAlign w:val="center"/>
          </w:tcPr>
          <w:p w14:paraId="7987B21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65C8C3C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000000" w:sz="4" w:space="0"/>
              <w:left w:val="nil"/>
              <w:bottom w:val="single" w:color="000000" w:sz="4" w:space="0"/>
              <w:right w:val="single" w:color="000000" w:sz="4" w:space="0"/>
            </w:tcBorders>
            <w:vAlign w:val="center"/>
          </w:tcPr>
          <w:p w14:paraId="620C4B0A">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非税收入预算完成率=（非税收入实际完成数/非税收入预算数）×100%。非税收入实际完成数：部门（单位）本年度实际完成的非税收入数。预算数：本年度部门（单位）编制的非税收入预算数。</w:t>
            </w:r>
          </w:p>
          <w:p w14:paraId="0CA7A7F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评分规则：1.比率≥100%，得满分；2.比率&lt;100%，每减少1%，扣2%的权重分，扣完为止。</w:t>
            </w:r>
          </w:p>
        </w:tc>
        <w:tc>
          <w:tcPr>
            <w:tcW w:w="416" w:type="pct"/>
            <w:tcBorders>
              <w:top w:val="single" w:color="000000" w:sz="4" w:space="0"/>
              <w:left w:val="nil"/>
              <w:bottom w:val="single" w:color="000000" w:sz="4" w:space="0"/>
              <w:right w:val="single" w:color="000000" w:sz="4" w:space="0"/>
            </w:tcBorders>
            <w:vAlign w:val="center"/>
          </w:tcPr>
          <w:p w14:paraId="16E430D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67.51%</w:t>
            </w:r>
          </w:p>
        </w:tc>
        <w:tc>
          <w:tcPr>
            <w:tcW w:w="316" w:type="pct"/>
            <w:tcBorders>
              <w:top w:val="single" w:color="000000" w:sz="4" w:space="0"/>
              <w:left w:val="nil"/>
              <w:bottom w:val="single" w:color="000000" w:sz="4" w:space="0"/>
              <w:right w:val="single" w:color="000000" w:sz="4" w:space="0"/>
            </w:tcBorders>
            <w:vAlign w:val="center"/>
          </w:tcPr>
          <w:p w14:paraId="4B33383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0.00 </w:t>
            </w:r>
          </w:p>
        </w:tc>
        <w:tc>
          <w:tcPr>
            <w:tcW w:w="464" w:type="pct"/>
            <w:tcBorders>
              <w:top w:val="single" w:color="000000" w:sz="4" w:space="0"/>
              <w:left w:val="nil"/>
              <w:bottom w:val="single" w:color="000000" w:sz="4" w:space="0"/>
              <w:right w:val="single" w:color="000000" w:sz="4" w:space="0"/>
            </w:tcBorders>
            <w:vAlign w:val="center"/>
          </w:tcPr>
          <w:p w14:paraId="070197F1">
            <w:pPr>
              <w:widowControl/>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非税收入实际完成数1,152,800.00元，非税收入预算数1,707,500.00元，非税收入预算完成率67.51%。</w:t>
            </w:r>
          </w:p>
        </w:tc>
      </w:tr>
      <w:tr w14:paraId="2EB0FCB5">
        <w:tblPrEx>
          <w:tblCellMar>
            <w:top w:w="0" w:type="dxa"/>
            <w:left w:w="108" w:type="dxa"/>
            <w:bottom w:w="0" w:type="dxa"/>
            <w:right w:w="108" w:type="dxa"/>
          </w:tblCellMar>
        </w:tblPrEx>
        <w:trPr>
          <w:trHeight w:val="128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0E6B12A9">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3CB79C09">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6AE9D96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政府采购执行率</w:t>
            </w:r>
          </w:p>
        </w:tc>
        <w:tc>
          <w:tcPr>
            <w:tcW w:w="462" w:type="pct"/>
            <w:tcBorders>
              <w:top w:val="nil"/>
              <w:left w:val="single" w:color="000000" w:sz="4" w:space="0"/>
              <w:bottom w:val="single" w:color="000000" w:sz="4" w:space="0"/>
              <w:right w:val="single" w:color="000000" w:sz="4" w:space="0"/>
            </w:tcBorders>
            <w:vAlign w:val="center"/>
          </w:tcPr>
          <w:p w14:paraId="284690A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3628F65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nil"/>
              <w:left w:val="nil"/>
              <w:bottom w:val="single" w:color="000000" w:sz="4" w:space="0"/>
              <w:right w:val="single" w:color="000000" w:sz="4" w:space="0"/>
            </w:tcBorders>
            <w:vAlign w:val="center"/>
          </w:tcPr>
          <w:p w14:paraId="5C7E677A">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政府采购执行率=（实际政府采购金额/政府采购预算数）×100%；政府采购预算：采购机关根据事业发展计划和行政任务编制的、并经过规定程序批准的年度政府采购计划。</w:t>
            </w:r>
          </w:p>
          <w:p w14:paraId="78549C4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评分规则：得分=政府采购执行率×分值。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60FCD57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5E9534F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D1E4E5D">
            <w:pPr>
              <w:widowControl/>
              <w:jc w:val="center"/>
              <w:textAlignment w:val="center"/>
              <w:rPr>
                <w:rFonts w:hint="eastAsia" w:asciiTheme="minorEastAsia" w:hAnsiTheme="minorEastAsia" w:eastAsiaTheme="minorEastAsia" w:cstheme="minorEastAsia"/>
                <w:kern w:val="0"/>
                <w:sz w:val="15"/>
                <w:szCs w:val="15"/>
                <w:lang w:bidi="ar"/>
              </w:rPr>
            </w:pPr>
          </w:p>
        </w:tc>
      </w:tr>
      <w:tr w14:paraId="0B019701">
        <w:tblPrEx>
          <w:tblCellMar>
            <w:top w:w="0" w:type="dxa"/>
            <w:left w:w="108" w:type="dxa"/>
            <w:bottom w:w="0" w:type="dxa"/>
            <w:right w:w="108" w:type="dxa"/>
          </w:tblCellMar>
        </w:tblPrEx>
        <w:trPr>
          <w:trHeight w:val="160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56DB8B10">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3F72C073">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304DDB3D">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“三公”经费变动率</w:t>
            </w:r>
          </w:p>
        </w:tc>
        <w:tc>
          <w:tcPr>
            <w:tcW w:w="462" w:type="pct"/>
            <w:tcBorders>
              <w:top w:val="single" w:color="000000" w:sz="4" w:space="0"/>
              <w:left w:val="single" w:color="000000" w:sz="4" w:space="0"/>
              <w:bottom w:val="single" w:color="000000" w:sz="4" w:space="0"/>
              <w:right w:val="single" w:color="000000" w:sz="4" w:space="0"/>
            </w:tcBorders>
            <w:vAlign w:val="center"/>
          </w:tcPr>
          <w:p w14:paraId="35E0765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w:t>
            </w:r>
          </w:p>
        </w:tc>
        <w:tc>
          <w:tcPr>
            <w:tcW w:w="352" w:type="pct"/>
            <w:tcBorders>
              <w:top w:val="single" w:color="000000" w:sz="4" w:space="0"/>
              <w:left w:val="single" w:color="000000" w:sz="4" w:space="0"/>
              <w:bottom w:val="single" w:color="000000" w:sz="4" w:space="0"/>
              <w:right w:val="single" w:color="000000" w:sz="4" w:space="0"/>
            </w:tcBorders>
            <w:vAlign w:val="center"/>
          </w:tcPr>
          <w:p w14:paraId="7F29F1B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72B56E6">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“三公”经费变动率=[（本年度“三公”经费总额-上年度“三公”经费总额）/上年度“三公”经费总额]×100%。“三公”经费：年度预算安排的因公出国（境）费、公务车辆购置及运行费和公务招待费。</w:t>
            </w:r>
          </w:p>
          <w:p w14:paraId="24B15F7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评分规则：1.比率≤0%，得满分；2.比率&gt;0%，不得分。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43A73A2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-10.87%</w:t>
            </w:r>
          </w:p>
        </w:tc>
        <w:tc>
          <w:tcPr>
            <w:tcW w:w="316" w:type="pct"/>
            <w:tcBorders>
              <w:top w:val="single" w:color="000000" w:sz="4" w:space="0"/>
              <w:left w:val="single" w:color="000000" w:sz="4" w:space="0"/>
              <w:bottom w:val="single" w:color="000000" w:sz="4" w:space="0"/>
              <w:right w:val="single" w:color="000000" w:sz="4" w:space="0"/>
            </w:tcBorders>
            <w:vAlign w:val="center"/>
          </w:tcPr>
          <w:p w14:paraId="016DFA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73226ECD">
            <w:pPr>
              <w:widowControl/>
              <w:jc w:val="center"/>
              <w:textAlignment w:val="center"/>
              <w:rPr>
                <w:rFonts w:hint="eastAsia" w:asciiTheme="minorEastAsia" w:hAnsiTheme="minorEastAsia" w:eastAsiaTheme="minorEastAsia" w:cstheme="minorEastAsia"/>
                <w:kern w:val="0"/>
                <w:sz w:val="15"/>
                <w:szCs w:val="15"/>
                <w:lang w:bidi="ar"/>
              </w:rPr>
            </w:pPr>
          </w:p>
        </w:tc>
      </w:tr>
      <w:tr w14:paraId="610CDFF4">
        <w:tblPrEx>
          <w:tblCellMar>
            <w:top w:w="0" w:type="dxa"/>
            <w:left w:w="108" w:type="dxa"/>
            <w:bottom w:w="0" w:type="dxa"/>
            <w:right w:w="108" w:type="dxa"/>
          </w:tblCellMar>
        </w:tblPrEx>
        <w:trPr>
          <w:trHeight w:val="10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570AA900">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4F024236">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24B2E9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公用经费控制率</w:t>
            </w:r>
          </w:p>
        </w:tc>
        <w:tc>
          <w:tcPr>
            <w:tcW w:w="462" w:type="pct"/>
            <w:tcBorders>
              <w:top w:val="single" w:color="000000" w:sz="4" w:space="0"/>
              <w:left w:val="single" w:color="000000" w:sz="4" w:space="0"/>
              <w:bottom w:val="single" w:color="000000" w:sz="4" w:space="0"/>
              <w:right w:val="single" w:color="000000" w:sz="4" w:space="0"/>
            </w:tcBorders>
            <w:vAlign w:val="center"/>
          </w:tcPr>
          <w:p w14:paraId="7EC63BC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15EF86E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2117F8E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公用经费控制率=（实际支出公用经费总额/预算安排公用经费总额）×100%。</w:t>
            </w:r>
          </w:p>
          <w:p w14:paraId="2FB4A8B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评分规则：1.比率≤100%，得满分；2.比率&gt;100%，不得分。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40B90C1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100.00%</w:t>
            </w:r>
          </w:p>
        </w:tc>
        <w:tc>
          <w:tcPr>
            <w:tcW w:w="316" w:type="pct"/>
            <w:tcBorders>
              <w:top w:val="single" w:color="000000" w:sz="4" w:space="0"/>
              <w:left w:val="single" w:color="000000" w:sz="4" w:space="0"/>
              <w:bottom w:val="single" w:color="000000" w:sz="4" w:space="0"/>
              <w:right w:val="single" w:color="000000" w:sz="4" w:space="0"/>
            </w:tcBorders>
            <w:vAlign w:val="center"/>
          </w:tcPr>
          <w:p w14:paraId="161163C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42DEDE9">
            <w:pPr>
              <w:widowControl/>
              <w:jc w:val="center"/>
              <w:textAlignment w:val="center"/>
              <w:rPr>
                <w:rFonts w:hint="eastAsia" w:asciiTheme="minorEastAsia" w:hAnsiTheme="minorEastAsia" w:eastAsiaTheme="minorEastAsia" w:cstheme="minorEastAsia"/>
                <w:kern w:val="0"/>
                <w:sz w:val="15"/>
                <w:szCs w:val="15"/>
                <w:lang w:bidi="ar"/>
              </w:rPr>
            </w:pPr>
          </w:p>
        </w:tc>
      </w:tr>
      <w:tr w14:paraId="58C6BE21">
        <w:tblPrEx>
          <w:tblCellMar>
            <w:top w:w="0" w:type="dxa"/>
            <w:left w:w="108" w:type="dxa"/>
            <w:bottom w:w="0" w:type="dxa"/>
            <w:right w:w="108" w:type="dxa"/>
          </w:tblCellMar>
        </w:tblPrEx>
        <w:trPr>
          <w:trHeight w:val="182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45F88B73">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6B0AA59F">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1280C5B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结转结余率</w:t>
            </w:r>
          </w:p>
        </w:tc>
        <w:tc>
          <w:tcPr>
            <w:tcW w:w="462" w:type="pct"/>
            <w:tcBorders>
              <w:top w:val="single" w:color="000000" w:sz="4" w:space="0"/>
              <w:left w:val="single" w:color="000000" w:sz="4" w:space="0"/>
              <w:bottom w:val="single" w:color="000000" w:sz="4" w:space="0"/>
              <w:right w:val="single" w:color="000000" w:sz="4" w:space="0"/>
            </w:tcBorders>
            <w:vAlign w:val="center"/>
          </w:tcPr>
          <w:p w14:paraId="712DC82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w:t>
            </w:r>
          </w:p>
        </w:tc>
        <w:tc>
          <w:tcPr>
            <w:tcW w:w="352" w:type="pct"/>
            <w:tcBorders>
              <w:top w:val="single" w:color="000000" w:sz="4" w:space="0"/>
              <w:left w:val="single" w:color="000000" w:sz="4" w:space="0"/>
              <w:bottom w:val="single" w:color="000000" w:sz="4" w:space="0"/>
              <w:right w:val="single" w:color="000000" w:sz="4" w:space="0"/>
            </w:tcBorders>
            <w:vAlign w:val="center"/>
          </w:tcPr>
          <w:p w14:paraId="0465909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4768985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结转结余率=结转结余总额/调整预算数×100%。结转结余总额：部门（单位）本年度的结转资金与结余资金之和（以决算数为准，“三公”经费未执行数和政府采购节约资金等视同已支出）。</w:t>
            </w:r>
          </w:p>
          <w:p w14:paraId="12A9373F">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评分规则：1.比率=0%，得满分；2.10%≤比率&lt;0%，每增加1%，扣10%的权重分，扣完为止。</w:t>
            </w:r>
          </w:p>
        </w:tc>
        <w:tc>
          <w:tcPr>
            <w:tcW w:w="416" w:type="pct"/>
            <w:tcBorders>
              <w:top w:val="single" w:color="000000" w:sz="4" w:space="0"/>
              <w:left w:val="single" w:color="000000" w:sz="4" w:space="0"/>
              <w:bottom w:val="single" w:color="auto" w:sz="4" w:space="0"/>
              <w:right w:val="single" w:color="000000" w:sz="4" w:space="0"/>
            </w:tcBorders>
            <w:vAlign w:val="center"/>
          </w:tcPr>
          <w:p w14:paraId="00B9261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0.00%</w:t>
            </w:r>
          </w:p>
        </w:tc>
        <w:tc>
          <w:tcPr>
            <w:tcW w:w="316" w:type="pct"/>
            <w:tcBorders>
              <w:top w:val="single" w:color="000000" w:sz="4" w:space="0"/>
              <w:left w:val="single" w:color="000000" w:sz="4" w:space="0"/>
              <w:bottom w:val="single" w:color="000000" w:sz="4" w:space="0"/>
              <w:right w:val="single" w:color="000000" w:sz="4" w:space="0"/>
            </w:tcBorders>
            <w:vAlign w:val="center"/>
          </w:tcPr>
          <w:p w14:paraId="59F7B8D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F7A100F">
            <w:pPr>
              <w:widowControl/>
              <w:jc w:val="center"/>
              <w:textAlignment w:val="center"/>
              <w:rPr>
                <w:rFonts w:hint="eastAsia" w:asciiTheme="minorEastAsia" w:hAnsiTheme="minorEastAsia" w:eastAsiaTheme="minorEastAsia" w:cstheme="minorEastAsia"/>
                <w:kern w:val="0"/>
                <w:sz w:val="15"/>
                <w:szCs w:val="15"/>
                <w:lang w:bidi="ar"/>
              </w:rPr>
            </w:pPr>
          </w:p>
        </w:tc>
      </w:tr>
      <w:tr w14:paraId="78AFF82F">
        <w:tblPrEx>
          <w:tblCellMar>
            <w:top w:w="0" w:type="dxa"/>
            <w:left w:w="108" w:type="dxa"/>
            <w:bottom w:w="0" w:type="dxa"/>
            <w:right w:w="108" w:type="dxa"/>
          </w:tblCellMar>
        </w:tblPrEx>
        <w:trPr>
          <w:trHeight w:val="15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5B78D80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460518F4">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4C9B254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预算执行率</w:t>
            </w:r>
          </w:p>
        </w:tc>
        <w:tc>
          <w:tcPr>
            <w:tcW w:w="462" w:type="pct"/>
            <w:tcBorders>
              <w:top w:val="single" w:color="000000" w:sz="4" w:space="0"/>
              <w:left w:val="single" w:color="000000" w:sz="4" w:space="0"/>
              <w:bottom w:val="single" w:color="000000" w:sz="4" w:space="0"/>
              <w:right w:val="single" w:color="000000" w:sz="4" w:space="0"/>
            </w:tcBorders>
            <w:vAlign w:val="center"/>
          </w:tcPr>
          <w:p w14:paraId="76F0F59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auto" w:sz="4" w:space="0"/>
            </w:tcBorders>
            <w:vAlign w:val="center"/>
          </w:tcPr>
          <w:p w14:paraId="1509BC6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auto" w:sz="4" w:space="0"/>
              <w:left w:val="single" w:color="auto" w:sz="4" w:space="0"/>
              <w:bottom w:val="single" w:color="auto" w:sz="4" w:space="0"/>
              <w:right w:val="single" w:color="000000" w:sz="4" w:space="0"/>
            </w:tcBorders>
            <w:vAlign w:val="center"/>
          </w:tcPr>
          <w:p w14:paraId="318D97A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1.基本支出预算执行率=（基本支出预算执行数/基本支出调整预算数）×100%。2.项目支出预算执行率=（项目支出预算执行数/项目支出调整预算数）×100%。</w:t>
            </w:r>
          </w:p>
          <w:p w14:paraId="1FFFD28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评分规则：以上评价要点各占1/2权重，得分=（基本支出预算执行率+项目支出预算执行率）×50%×分值。</w:t>
            </w:r>
          </w:p>
        </w:tc>
        <w:tc>
          <w:tcPr>
            <w:tcW w:w="416" w:type="pct"/>
            <w:tcBorders>
              <w:top w:val="single" w:color="auto" w:sz="4" w:space="0"/>
              <w:left w:val="nil"/>
              <w:bottom w:val="single" w:color="auto" w:sz="4" w:space="0"/>
              <w:right w:val="single" w:color="auto" w:sz="4" w:space="0"/>
            </w:tcBorders>
            <w:noWrap/>
            <w:vAlign w:val="center"/>
          </w:tcPr>
          <w:p w14:paraId="343BB43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200.00%</w:t>
            </w:r>
          </w:p>
        </w:tc>
        <w:tc>
          <w:tcPr>
            <w:tcW w:w="316" w:type="pct"/>
            <w:tcBorders>
              <w:top w:val="single" w:color="000000" w:sz="4" w:space="0"/>
              <w:left w:val="single" w:color="auto" w:sz="4" w:space="0"/>
              <w:bottom w:val="single" w:color="000000" w:sz="4" w:space="0"/>
              <w:right w:val="single" w:color="000000" w:sz="4" w:space="0"/>
            </w:tcBorders>
            <w:vAlign w:val="center"/>
          </w:tcPr>
          <w:p w14:paraId="717CBC6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000000" w:sz="4" w:space="0"/>
              <w:left w:val="single" w:color="000000" w:sz="4" w:space="0"/>
              <w:bottom w:val="single" w:color="000000" w:sz="4" w:space="0"/>
              <w:right w:val="single" w:color="000000" w:sz="4" w:space="0"/>
            </w:tcBorders>
            <w:vAlign w:val="center"/>
          </w:tcPr>
          <w:p w14:paraId="5953A363">
            <w:pPr>
              <w:widowControl/>
              <w:jc w:val="center"/>
              <w:textAlignment w:val="center"/>
              <w:rPr>
                <w:rFonts w:hint="eastAsia" w:asciiTheme="minorEastAsia" w:hAnsiTheme="minorEastAsia" w:eastAsiaTheme="minorEastAsia" w:cstheme="minorEastAsia"/>
                <w:kern w:val="0"/>
                <w:sz w:val="15"/>
                <w:szCs w:val="15"/>
                <w:lang w:bidi="ar"/>
              </w:rPr>
            </w:pPr>
          </w:p>
        </w:tc>
      </w:tr>
      <w:tr w14:paraId="57FF577D">
        <w:tblPrEx>
          <w:tblCellMar>
            <w:top w:w="0" w:type="dxa"/>
            <w:left w:w="108" w:type="dxa"/>
            <w:bottom w:w="0" w:type="dxa"/>
            <w:right w:w="108" w:type="dxa"/>
          </w:tblCellMar>
        </w:tblPrEx>
        <w:trPr>
          <w:trHeight w:val="186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11D12082">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000000" w:sz="4" w:space="0"/>
              <w:right w:val="single" w:color="000000" w:sz="4" w:space="0"/>
            </w:tcBorders>
            <w:vAlign w:val="center"/>
          </w:tcPr>
          <w:p w14:paraId="1ED8D167">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7EE61C6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预算调整率</w:t>
            </w:r>
          </w:p>
        </w:tc>
        <w:tc>
          <w:tcPr>
            <w:tcW w:w="462" w:type="pct"/>
            <w:tcBorders>
              <w:top w:val="single" w:color="000000" w:sz="4" w:space="0"/>
              <w:left w:val="single" w:color="000000" w:sz="4" w:space="0"/>
              <w:bottom w:val="single" w:color="000000" w:sz="4" w:space="0"/>
              <w:right w:val="single" w:color="000000" w:sz="4" w:space="0"/>
            </w:tcBorders>
            <w:vAlign w:val="center"/>
          </w:tcPr>
          <w:p w14:paraId="5CDCA04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w:t>
            </w:r>
          </w:p>
        </w:tc>
        <w:tc>
          <w:tcPr>
            <w:tcW w:w="352" w:type="pct"/>
            <w:tcBorders>
              <w:top w:val="single" w:color="000000" w:sz="4" w:space="0"/>
              <w:left w:val="single" w:color="000000" w:sz="4" w:space="0"/>
              <w:bottom w:val="single" w:color="000000" w:sz="4" w:space="0"/>
              <w:right w:val="single" w:color="000000" w:sz="4" w:space="0"/>
            </w:tcBorders>
            <w:vAlign w:val="center"/>
          </w:tcPr>
          <w:p w14:paraId="16FD2C7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000000" w:sz="4" w:space="0"/>
            </w:tcBorders>
            <w:vAlign w:val="center"/>
          </w:tcPr>
          <w:p w14:paraId="09A0A4CF">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预算调整率=（预算调整数/预算数）×100%。预算调整数：部门（单位）在本年度内涉及预算的追加、追减或结构调整的资金总和（因落实国家政策，发生不可抗力、上级部门或本级党委、政府临时交办而产生的调整除外）。</w:t>
            </w:r>
          </w:p>
          <w:p w14:paraId="72DF542A">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评分规则：1.比率=0%，得满分；2.比率≠0%，每增加（减少）1%，扣5%的权重分，扣完为止。</w:t>
            </w:r>
          </w:p>
        </w:tc>
        <w:tc>
          <w:tcPr>
            <w:tcW w:w="416" w:type="pct"/>
            <w:tcBorders>
              <w:top w:val="single" w:color="auto" w:sz="4" w:space="0"/>
              <w:left w:val="single" w:color="000000" w:sz="4" w:space="0"/>
              <w:bottom w:val="single" w:color="000000" w:sz="4" w:space="0"/>
              <w:right w:val="single" w:color="000000" w:sz="4" w:space="0"/>
            </w:tcBorders>
            <w:vAlign w:val="center"/>
          </w:tcPr>
          <w:p w14:paraId="7CACCD9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14.87%</w:t>
            </w:r>
          </w:p>
        </w:tc>
        <w:tc>
          <w:tcPr>
            <w:tcW w:w="316" w:type="pct"/>
            <w:tcBorders>
              <w:top w:val="single" w:color="000000" w:sz="4" w:space="0"/>
              <w:left w:val="single" w:color="000000" w:sz="4" w:space="0"/>
              <w:bottom w:val="single" w:color="000000" w:sz="4" w:space="0"/>
              <w:right w:val="single" w:color="000000" w:sz="4" w:space="0"/>
            </w:tcBorders>
            <w:vAlign w:val="center"/>
          </w:tcPr>
          <w:p w14:paraId="0C57D6E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0.26</w:t>
            </w:r>
          </w:p>
        </w:tc>
        <w:tc>
          <w:tcPr>
            <w:tcW w:w="464" w:type="pct"/>
            <w:tcBorders>
              <w:top w:val="single" w:color="000000" w:sz="4" w:space="0"/>
              <w:left w:val="single" w:color="000000" w:sz="4" w:space="0"/>
              <w:bottom w:val="single" w:color="000000" w:sz="4" w:space="0"/>
              <w:right w:val="single" w:color="000000" w:sz="4" w:space="0"/>
            </w:tcBorders>
            <w:vAlign w:val="center"/>
          </w:tcPr>
          <w:p w14:paraId="20DCF713">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支出预算调整数2,135,825.30元，支出预算数14,360,900.00元,预算调整率14.87%。</w:t>
            </w:r>
          </w:p>
        </w:tc>
      </w:tr>
      <w:tr w14:paraId="4323957D">
        <w:tblPrEx>
          <w:tblCellMar>
            <w:top w:w="0" w:type="dxa"/>
            <w:left w:w="108" w:type="dxa"/>
            <w:bottom w:w="0" w:type="dxa"/>
            <w:right w:w="108" w:type="dxa"/>
          </w:tblCellMar>
        </w:tblPrEx>
        <w:trPr>
          <w:trHeight w:val="17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79CC2A1A">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000000" w:sz="4" w:space="0"/>
              <w:bottom w:val="single" w:color="auto" w:sz="4" w:space="0"/>
              <w:right w:val="single" w:color="000000" w:sz="4" w:space="0"/>
            </w:tcBorders>
            <w:vAlign w:val="center"/>
          </w:tcPr>
          <w:p w14:paraId="28782387">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23F7C41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支付进度符合率</w:t>
            </w:r>
          </w:p>
        </w:tc>
        <w:tc>
          <w:tcPr>
            <w:tcW w:w="462" w:type="pct"/>
            <w:tcBorders>
              <w:top w:val="single" w:color="000000" w:sz="4" w:space="0"/>
              <w:left w:val="single" w:color="000000" w:sz="4" w:space="0"/>
              <w:bottom w:val="single" w:color="000000" w:sz="4" w:space="0"/>
              <w:right w:val="single" w:color="000000" w:sz="4" w:space="0"/>
            </w:tcBorders>
            <w:vAlign w:val="center"/>
          </w:tcPr>
          <w:p w14:paraId="732A7C3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3FEC76B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6D92320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支付进度率=（实际支付进度/计划支付进度）×100%。实际支付进度：部门在某一时点的支出数与年度预算数的比率。计划支付进度：由部门在申报部门整体绩效目标时确定的支付进度（比率）。</w:t>
            </w:r>
          </w:p>
          <w:p w14:paraId="1C9511B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评分规则：1.比率≥100%，得满分；2.比率&lt;100%，每减少1%，扣2%的权重分，扣完为止。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1DD4E8D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100.00%</w:t>
            </w:r>
          </w:p>
        </w:tc>
        <w:tc>
          <w:tcPr>
            <w:tcW w:w="316" w:type="pct"/>
            <w:tcBorders>
              <w:top w:val="single" w:color="000000" w:sz="4" w:space="0"/>
              <w:left w:val="single" w:color="000000" w:sz="4" w:space="0"/>
              <w:bottom w:val="single" w:color="000000" w:sz="4" w:space="0"/>
              <w:right w:val="single" w:color="000000" w:sz="4" w:space="0"/>
            </w:tcBorders>
            <w:vAlign w:val="center"/>
          </w:tcPr>
          <w:p w14:paraId="0BF5D17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70713C4F">
            <w:pPr>
              <w:widowControl/>
              <w:jc w:val="center"/>
              <w:textAlignment w:val="center"/>
              <w:rPr>
                <w:rFonts w:hint="eastAsia" w:asciiTheme="minorEastAsia" w:hAnsiTheme="minorEastAsia" w:eastAsiaTheme="minorEastAsia" w:cstheme="minorEastAsia"/>
                <w:kern w:val="0"/>
                <w:sz w:val="15"/>
                <w:szCs w:val="15"/>
                <w:lang w:bidi="ar"/>
              </w:rPr>
            </w:pPr>
          </w:p>
        </w:tc>
      </w:tr>
      <w:tr w14:paraId="0B7D26B0">
        <w:tblPrEx>
          <w:tblCellMar>
            <w:top w:w="0" w:type="dxa"/>
            <w:left w:w="108" w:type="dxa"/>
            <w:bottom w:w="0" w:type="dxa"/>
            <w:right w:w="108" w:type="dxa"/>
          </w:tblCellMar>
        </w:tblPrEx>
        <w:trPr>
          <w:trHeight w:val="204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472AC0BD">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000000" w:sz="4" w:space="0"/>
              <w:right w:val="single" w:color="auto" w:sz="4" w:space="0"/>
            </w:tcBorders>
            <w:vAlign w:val="center"/>
          </w:tcPr>
          <w:p w14:paraId="4E30F4D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预算管理（8）</w:t>
            </w:r>
          </w:p>
        </w:tc>
        <w:tc>
          <w:tcPr>
            <w:tcW w:w="866" w:type="pct"/>
            <w:tcBorders>
              <w:top w:val="single" w:color="auto" w:sz="4" w:space="0"/>
              <w:left w:val="single" w:color="auto" w:sz="4" w:space="0"/>
              <w:bottom w:val="single" w:color="000000" w:sz="4" w:space="0"/>
              <w:right w:val="single" w:color="auto" w:sz="4" w:space="0"/>
            </w:tcBorders>
            <w:vAlign w:val="center"/>
          </w:tcPr>
          <w:p w14:paraId="472CCDD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预算管理制度健全性</w:t>
            </w:r>
          </w:p>
        </w:tc>
        <w:tc>
          <w:tcPr>
            <w:tcW w:w="462" w:type="pct"/>
            <w:tcBorders>
              <w:top w:val="single" w:color="000000" w:sz="4" w:space="0"/>
              <w:left w:val="single" w:color="auto" w:sz="4" w:space="0"/>
              <w:bottom w:val="single" w:color="000000" w:sz="4" w:space="0"/>
              <w:right w:val="single" w:color="000000" w:sz="4" w:space="0"/>
            </w:tcBorders>
            <w:vAlign w:val="center"/>
          </w:tcPr>
          <w:p w14:paraId="1CE0A73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717CA09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52A452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评价要点：①是否已制定或具有相应的预算管理内控制度，包括收入与支出管理、往来资金结算管理、现金及银行存款管理、财务监督管理、政府采购管理、绩效管理等；②预算管理制度是否合法、合规、完整。</w:t>
            </w:r>
          </w:p>
          <w:p w14:paraId="51ABEA4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4B4731A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0547E2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1BBC4E4">
            <w:pPr>
              <w:widowControl/>
              <w:jc w:val="center"/>
              <w:textAlignment w:val="center"/>
              <w:rPr>
                <w:rFonts w:hint="eastAsia" w:asciiTheme="minorEastAsia" w:hAnsiTheme="minorEastAsia" w:eastAsiaTheme="minorEastAsia" w:cstheme="minorEastAsia"/>
                <w:kern w:val="0"/>
                <w:sz w:val="15"/>
                <w:szCs w:val="15"/>
                <w:lang w:bidi="ar"/>
              </w:rPr>
            </w:pPr>
          </w:p>
        </w:tc>
      </w:tr>
      <w:tr w14:paraId="196BC8EC">
        <w:tblPrEx>
          <w:tblCellMar>
            <w:top w:w="0" w:type="dxa"/>
            <w:left w:w="108" w:type="dxa"/>
            <w:bottom w:w="0" w:type="dxa"/>
            <w:right w:w="108" w:type="dxa"/>
          </w:tblCellMar>
        </w:tblPrEx>
        <w:trPr>
          <w:trHeight w:val="236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5B41E8D4">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0A8E0461">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auto" w:sz="4" w:space="0"/>
            </w:tcBorders>
            <w:vAlign w:val="center"/>
          </w:tcPr>
          <w:p w14:paraId="054ABE4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非税收入管理合规性</w:t>
            </w:r>
          </w:p>
        </w:tc>
        <w:tc>
          <w:tcPr>
            <w:tcW w:w="462" w:type="pct"/>
            <w:tcBorders>
              <w:top w:val="single" w:color="000000" w:sz="4" w:space="0"/>
              <w:left w:val="single" w:color="auto" w:sz="4" w:space="0"/>
              <w:bottom w:val="single" w:color="000000" w:sz="4" w:space="0"/>
              <w:right w:val="single" w:color="000000" w:sz="4" w:space="0"/>
            </w:tcBorders>
            <w:vAlign w:val="center"/>
          </w:tcPr>
          <w:p w14:paraId="1F7276B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合规</w:t>
            </w:r>
          </w:p>
        </w:tc>
        <w:tc>
          <w:tcPr>
            <w:tcW w:w="352" w:type="pct"/>
            <w:tcBorders>
              <w:top w:val="single" w:color="000000" w:sz="4" w:space="0"/>
              <w:left w:val="single" w:color="000000" w:sz="4" w:space="0"/>
              <w:bottom w:val="single" w:color="000000" w:sz="4" w:space="0"/>
              <w:right w:val="single" w:color="000000" w:sz="4" w:space="0"/>
            </w:tcBorders>
            <w:vAlign w:val="center"/>
          </w:tcPr>
          <w:p w14:paraId="054245C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A7B5BE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评价要点：①是否严格执行国家及地方非税收入管理相关法规；②是否制定内部管理制度；③是否存在截留、挤占、挪用、虚列支出等情况；④资金拨付是否有完整的审批程序和手续。</w:t>
            </w:r>
          </w:p>
          <w:p w14:paraId="49807AE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评分规则：以上评价要点各占1/4分值。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60F7407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合规</w:t>
            </w:r>
          </w:p>
        </w:tc>
        <w:tc>
          <w:tcPr>
            <w:tcW w:w="316" w:type="pct"/>
            <w:tcBorders>
              <w:top w:val="single" w:color="000000" w:sz="4" w:space="0"/>
              <w:left w:val="single" w:color="000000" w:sz="4" w:space="0"/>
              <w:bottom w:val="single" w:color="000000" w:sz="4" w:space="0"/>
              <w:right w:val="single" w:color="000000" w:sz="4" w:space="0"/>
            </w:tcBorders>
            <w:vAlign w:val="center"/>
          </w:tcPr>
          <w:p w14:paraId="0871D61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22E6881">
            <w:pPr>
              <w:widowControl/>
              <w:jc w:val="center"/>
              <w:textAlignment w:val="center"/>
              <w:rPr>
                <w:rFonts w:hint="eastAsia" w:asciiTheme="minorEastAsia" w:hAnsiTheme="minorEastAsia" w:eastAsiaTheme="minorEastAsia" w:cstheme="minorEastAsia"/>
                <w:kern w:val="0"/>
                <w:sz w:val="15"/>
                <w:szCs w:val="15"/>
                <w:lang w:bidi="ar"/>
              </w:rPr>
            </w:pPr>
          </w:p>
        </w:tc>
      </w:tr>
      <w:tr w14:paraId="0C52A264">
        <w:tblPrEx>
          <w:tblCellMar>
            <w:top w:w="0" w:type="dxa"/>
            <w:left w:w="108" w:type="dxa"/>
            <w:bottom w:w="0" w:type="dxa"/>
            <w:right w:w="108" w:type="dxa"/>
          </w:tblCellMar>
        </w:tblPrEx>
        <w:trPr>
          <w:trHeight w:val="158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5707D814">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62F96901">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auto" w:sz="4" w:space="0"/>
            </w:tcBorders>
            <w:vAlign w:val="center"/>
          </w:tcPr>
          <w:p w14:paraId="153E413A">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预决算信息公开度</w:t>
            </w:r>
          </w:p>
        </w:tc>
        <w:tc>
          <w:tcPr>
            <w:tcW w:w="462" w:type="pct"/>
            <w:tcBorders>
              <w:top w:val="single" w:color="000000" w:sz="4" w:space="0"/>
              <w:left w:val="single" w:color="auto" w:sz="4" w:space="0"/>
              <w:bottom w:val="single" w:color="000000" w:sz="4" w:space="0"/>
              <w:right w:val="single" w:color="000000" w:sz="4" w:space="0"/>
            </w:tcBorders>
            <w:vAlign w:val="center"/>
          </w:tcPr>
          <w:p w14:paraId="10591D3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公开</w:t>
            </w:r>
          </w:p>
        </w:tc>
        <w:tc>
          <w:tcPr>
            <w:tcW w:w="352" w:type="pct"/>
            <w:tcBorders>
              <w:top w:val="single" w:color="000000" w:sz="4" w:space="0"/>
              <w:left w:val="single" w:color="000000" w:sz="4" w:space="0"/>
              <w:bottom w:val="single" w:color="000000" w:sz="4" w:space="0"/>
              <w:right w:val="single" w:color="000000" w:sz="4" w:space="0"/>
            </w:tcBorders>
            <w:vAlign w:val="center"/>
          </w:tcPr>
          <w:p w14:paraId="45C1D9C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38CDC173">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评价要点：①是否按规定内容公开预决算信息；②是否按规定时限公开预决算信息。</w:t>
            </w:r>
          </w:p>
          <w:p w14:paraId="48833E2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6DF4552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公开</w:t>
            </w:r>
          </w:p>
        </w:tc>
        <w:tc>
          <w:tcPr>
            <w:tcW w:w="316" w:type="pct"/>
            <w:tcBorders>
              <w:top w:val="single" w:color="000000" w:sz="4" w:space="0"/>
              <w:left w:val="single" w:color="000000" w:sz="4" w:space="0"/>
              <w:bottom w:val="single" w:color="000000" w:sz="4" w:space="0"/>
              <w:right w:val="single" w:color="000000" w:sz="4" w:space="0"/>
            </w:tcBorders>
            <w:vAlign w:val="center"/>
          </w:tcPr>
          <w:p w14:paraId="5173A41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5C6AE7FC">
            <w:pPr>
              <w:widowControl/>
              <w:jc w:val="center"/>
              <w:textAlignment w:val="center"/>
              <w:rPr>
                <w:rFonts w:hint="eastAsia" w:asciiTheme="minorEastAsia" w:hAnsiTheme="minorEastAsia" w:eastAsiaTheme="minorEastAsia" w:cstheme="minorEastAsia"/>
                <w:kern w:val="0"/>
                <w:sz w:val="15"/>
                <w:szCs w:val="15"/>
                <w:lang w:bidi="ar"/>
              </w:rPr>
            </w:pPr>
          </w:p>
        </w:tc>
      </w:tr>
      <w:tr w14:paraId="249CA843">
        <w:tblPrEx>
          <w:tblCellMar>
            <w:top w:w="0" w:type="dxa"/>
            <w:left w:w="108" w:type="dxa"/>
            <w:bottom w:w="0" w:type="dxa"/>
            <w:right w:w="108" w:type="dxa"/>
          </w:tblCellMar>
        </w:tblPrEx>
        <w:trPr>
          <w:trHeight w:val="150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592C82C2">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1BA141AB">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auto" w:sz="4" w:space="0"/>
              <w:right w:val="single" w:color="auto" w:sz="4" w:space="0"/>
            </w:tcBorders>
            <w:vAlign w:val="center"/>
          </w:tcPr>
          <w:p w14:paraId="1460F3E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基础信息完善性</w:t>
            </w:r>
          </w:p>
        </w:tc>
        <w:tc>
          <w:tcPr>
            <w:tcW w:w="462" w:type="pct"/>
            <w:tcBorders>
              <w:top w:val="single" w:color="000000" w:sz="4" w:space="0"/>
              <w:left w:val="single" w:color="auto" w:sz="4" w:space="0"/>
              <w:bottom w:val="single" w:color="auto" w:sz="4" w:space="0"/>
              <w:right w:val="single" w:color="000000" w:sz="4" w:space="0"/>
            </w:tcBorders>
            <w:vAlign w:val="center"/>
          </w:tcPr>
          <w:p w14:paraId="6679699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完善</w:t>
            </w:r>
          </w:p>
        </w:tc>
        <w:tc>
          <w:tcPr>
            <w:tcW w:w="352" w:type="pct"/>
            <w:tcBorders>
              <w:top w:val="single" w:color="000000" w:sz="4" w:space="0"/>
              <w:left w:val="single" w:color="000000" w:sz="4" w:space="0"/>
              <w:bottom w:val="single" w:color="auto" w:sz="4" w:space="0"/>
              <w:right w:val="single" w:color="000000" w:sz="4" w:space="0"/>
            </w:tcBorders>
            <w:vAlign w:val="center"/>
          </w:tcPr>
          <w:p w14:paraId="5AD39D3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03423F84">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评价要点：①基本财务管理制度健全；②基础数据信息和会计信息资料是否真实、完整、准确。</w:t>
            </w:r>
          </w:p>
          <w:p w14:paraId="1F8B4ED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auto" w:sz="4" w:space="0"/>
              <w:right w:val="single" w:color="000000" w:sz="4" w:space="0"/>
            </w:tcBorders>
            <w:vAlign w:val="center"/>
          </w:tcPr>
          <w:p w14:paraId="3E5C8E8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完善</w:t>
            </w:r>
          </w:p>
        </w:tc>
        <w:tc>
          <w:tcPr>
            <w:tcW w:w="316" w:type="pct"/>
            <w:tcBorders>
              <w:top w:val="single" w:color="000000" w:sz="4" w:space="0"/>
              <w:left w:val="single" w:color="000000" w:sz="4" w:space="0"/>
              <w:bottom w:val="single" w:color="auto" w:sz="4" w:space="0"/>
              <w:right w:val="single" w:color="000000" w:sz="4" w:space="0"/>
            </w:tcBorders>
            <w:vAlign w:val="center"/>
          </w:tcPr>
          <w:p w14:paraId="7FD4F4F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auto" w:sz="4" w:space="0"/>
              <w:right w:val="single" w:color="000000" w:sz="4" w:space="0"/>
            </w:tcBorders>
            <w:vAlign w:val="center"/>
          </w:tcPr>
          <w:p w14:paraId="27C751DF">
            <w:pPr>
              <w:widowControl/>
              <w:jc w:val="center"/>
              <w:textAlignment w:val="center"/>
              <w:rPr>
                <w:rFonts w:hint="eastAsia" w:asciiTheme="minorEastAsia" w:hAnsiTheme="minorEastAsia" w:eastAsiaTheme="minorEastAsia" w:cstheme="minorEastAsia"/>
                <w:kern w:val="0"/>
                <w:sz w:val="15"/>
                <w:szCs w:val="15"/>
                <w:lang w:bidi="ar"/>
              </w:rPr>
            </w:pPr>
          </w:p>
        </w:tc>
      </w:tr>
      <w:tr w14:paraId="37016D40">
        <w:tblPrEx>
          <w:tblCellMar>
            <w:top w:w="0" w:type="dxa"/>
            <w:left w:w="108" w:type="dxa"/>
            <w:bottom w:w="0" w:type="dxa"/>
            <w:right w:w="108" w:type="dxa"/>
          </w:tblCellMar>
        </w:tblPrEx>
        <w:trPr>
          <w:trHeight w:val="94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28EFDA6C">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000000" w:sz="4" w:space="0"/>
              <w:right w:val="single" w:color="auto" w:sz="4" w:space="0"/>
            </w:tcBorders>
            <w:vAlign w:val="center"/>
          </w:tcPr>
          <w:p w14:paraId="149B3109">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auto" w:sz="4" w:space="0"/>
            </w:tcBorders>
            <w:vAlign w:val="center"/>
          </w:tcPr>
          <w:p w14:paraId="20B4EAE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绩效管理覆盖率</w:t>
            </w:r>
          </w:p>
        </w:tc>
        <w:tc>
          <w:tcPr>
            <w:tcW w:w="462" w:type="pct"/>
            <w:tcBorders>
              <w:top w:val="single" w:color="auto" w:sz="4" w:space="0"/>
              <w:left w:val="single" w:color="auto" w:sz="4" w:space="0"/>
              <w:bottom w:val="single" w:color="auto" w:sz="4" w:space="0"/>
              <w:right w:val="single" w:color="000000" w:sz="4" w:space="0"/>
            </w:tcBorders>
            <w:vAlign w:val="center"/>
          </w:tcPr>
          <w:p w14:paraId="57A4887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auto" w:sz="4" w:space="0"/>
              <w:left w:val="single" w:color="000000" w:sz="4" w:space="0"/>
              <w:bottom w:val="single" w:color="auto" w:sz="4" w:space="0"/>
              <w:right w:val="single" w:color="000000" w:sz="4" w:space="0"/>
            </w:tcBorders>
            <w:vAlign w:val="center"/>
          </w:tcPr>
          <w:p w14:paraId="5E133FC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auto" w:sz="4" w:space="0"/>
              <w:right w:val="single" w:color="000000" w:sz="4" w:space="0"/>
            </w:tcBorders>
            <w:vAlign w:val="center"/>
          </w:tcPr>
          <w:p w14:paraId="238372C4">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绩效管理覆盖率=（纳入绩效管理预算数/部门整体预算总额）×100%。</w:t>
            </w:r>
          </w:p>
          <w:p w14:paraId="04D6942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评分规则：得分=绩效管理覆盖率×分值。</w:t>
            </w:r>
          </w:p>
        </w:tc>
        <w:tc>
          <w:tcPr>
            <w:tcW w:w="416" w:type="pct"/>
            <w:tcBorders>
              <w:top w:val="single" w:color="auto" w:sz="4" w:space="0"/>
              <w:left w:val="single" w:color="000000" w:sz="4" w:space="0"/>
              <w:bottom w:val="single" w:color="auto" w:sz="4" w:space="0"/>
              <w:right w:val="single" w:color="000000" w:sz="4" w:space="0"/>
            </w:tcBorders>
            <w:vAlign w:val="center"/>
          </w:tcPr>
          <w:p w14:paraId="36FDA86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auto" w:sz="4" w:space="0"/>
              <w:left w:val="single" w:color="000000" w:sz="4" w:space="0"/>
              <w:bottom w:val="single" w:color="auto" w:sz="4" w:space="0"/>
              <w:right w:val="single" w:color="auto" w:sz="4" w:space="0"/>
            </w:tcBorders>
            <w:vAlign w:val="center"/>
          </w:tcPr>
          <w:p w14:paraId="3C325F4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auto" w:sz="4" w:space="0"/>
              <w:left w:val="single" w:color="000000" w:sz="4" w:space="0"/>
              <w:bottom w:val="single" w:color="auto" w:sz="4" w:space="0"/>
              <w:right w:val="single" w:color="auto" w:sz="4" w:space="0"/>
            </w:tcBorders>
            <w:vAlign w:val="center"/>
          </w:tcPr>
          <w:p w14:paraId="737DAA76">
            <w:pPr>
              <w:widowControl/>
              <w:jc w:val="center"/>
              <w:textAlignment w:val="center"/>
              <w:rPr>
                <w:rFonts w:hint="eastAsia" w:asciiTheme="minorEastAsia" w:hAnsiTheme="minorEastAsia" w:eastAsiaTheme="minorEastAsia" w:cstheme="minorEastAsia"/>
                <w:kern w:val="0"/>
                <w:sz w:val="15"/>
                <w:szCs w:val="15"/>
                <w:lang w:bidi="ar"/>
              </w:rPr>
            </w:pPr>
          </w:p>
        </w:tc>
      </w:tr>
      <w:tr w14:paraId="41636DEC">
        <w:tblPrEx>
          <w:tblCellMar>
            <w:top w:w="0" w:type="dxa"/>
            <w:left w:w="108" w:type="dxa"/>
            <w:bottom w:w="0" w:type="dxa"/>
            <w:right w:w="108" w:type="dxa"/>
          </w:tblCellMar>
        </w:tblPrEx>
        <w:trPr>
          <w:trHeight w:val="244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4CC8F7CE">
            <w:pPr>
              <w:jc w:val="center"/>
              <w:rPr>
                <w:rFonts w:hint="eastAsia" w:asciiTheme="minorEastAsia" w:hAnsiTheme="minorEastAsia" w:eastAsiaTheme="minorEastAsia" w:cstheme="minorEastAsia"/>
                <w:sz w:val="15"/>
                <w:szCs w:val="15"/>
              </w:rPr>
            </w:pPr>
          </w:p>
        </w:tc>
        <w:tc>
          <w:tcPr>
            <w:tcW w:w="353" w:type="pct"/>
            <w:vMerge w:val="continue"/>
            <w:tcBorders>
              <w:top w:val="single" w:color="000000" w:sz="4" w:space="0"/>
              <w:left w:val="single" w:color="auto" w:sz="4" w:space="0"/>
              <w:bottom w:val="single" w:color="auto" w:sz="4" w:space="0"/>
              <w:right w:val="single" w:color="auto" w:sz="4" w:space="0"/>
            </w:tcBorders>
            <w:vAlign w:val="center"/>
          </w:tcPr>
          <w:p w14:paraId="54D78595">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auto" w:sz="4" w:space="0"/>
            </w:tcBorders>
            <w:vAlign w:val="center"/>
          </w:tcPr>
          <w:p w14:paraId="6B2C869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资金使用合规性</w:t>
            </w:r>
          </w:p>
        </w:tc>
        <w:tc>
          <w:tcPr>
            <w:tcW w:w="462" w:type="pct"/>
            <w:tcBorders>
              <w:top w:val="single" w:color="auto" w:sz="4" w:space="0"/>
              <w:left w:val="single" w:color="auto" w:sz="4" w:space="0"/>
              <w:bottom w:val="single" w:color="auto" w:sz="4" w:space="0"/>
              <w:right w:val="single" w:color="000000" w:sz="4" w:space="0"/>
            </w:tcBorders>
            <w:vAlign w:val="center"/>
          </w:tcPr>
          <w:p w14:paraId="2634F49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合规</w:t>
            </w:r>
          </w:p>
        </w:tc>
        <w:tc>
          <w:tcPr>
            <w:tcW w:w="352" w:type="pct"/>
            <w:tcBorders>
              <w:top w:val="single" w:color="auto" w:sz="4" w:space="0"/>
              <w:left w:val="single" w:color="000000" w:sz="4" w:space="0"/>
              <w:bottom w:val="single" w:color="auto" w:sz="4" w:space="0"/>
              <w:right w:val="single" w:color="000000" w:sz="4" w:space="0"/>
            </w:tcBorders>
            <w:vAlign w:val="center"/>
          </w:tcPr>
          <w:p w14:paraId="5897867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auto" w:sz="4" w:space="0"/>
              <w:left w:val="single" w:color="000000" w:sz="4" w:space="0"/>
              <w:bottom w:val="single" w:color="auto" w:sz="4" w:space="0"/>
              <w:right w:val="single" w:color="000000" w:sz="4" w:space="0"/>
            </w:tcBorders>
            <w:vAlign w:val="center"/>
          </w:tcPr>
          <w:p w14:paraId="480D6B2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符合国家财经法规和财务管理制度以及有关专项资金管理办法的规定；②是否存在截留、挤占、挪用、虚列支出等情况；③资金拨付是否有完整的审批程序和手续；④公用经费是否存在超标准支出情况，项目支出与公用经费是否存在重复交叉。</w:t>
            </w:r>
          </w:p>
          <w:p w14:paraId="45D38EC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评分规则：以上评价要点各占1/4分值，每个要点执行情况分为达成、部分达成、未达成三档，分别按分值的100%-80%（含）、80%-60%（含）、60%-0%合理确定分值。</w:t>
            </w:r>
          </w:p>
        </w:tc>
        <w:tc>
          <w:tcPr>
            <w:tcW w:w="416" w:type="pct"/>
            <w:tcBorders>
              <w:top w:val="single" w:color="auto" w:sz="4" w:space="0"/>
              <w:left w:val="single" w:color="000000" w:sz="4" w:space="0"/>
              <w:bottom w:val="single" w:color="auto" w:sz="4" w:space="0"/>
              <w:right w:val="single" w:color="auto" w:sz="4" w:space="0"/>
            </w:tcBorders>
            <w:vAlign w:val="center"/>
          </w:tcPr>
          <w:p w14:paraId="601A490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合规</w:t>
            </w:r>
          </w:p>
        </w:tc>
        <w:tc>
          <w:tcPr>
            <w:tcW w:w="316" w:type="pct"/>
            <w:tcBorders>
              <w:top w:val="single" w:color="auto" w:sz="4" w:space="0"/>
              <w:left w:val="single" w:color="auto" w:sz="4" w:space="0"/>
              <w:bottom w:val="single" w:color="auto" w:sz="4" w:space="0"/>
              <w:right w:val="single" w:color="000000" w:sz="4" w:space="0"/>
            </w:tcBorders>
            <w:vAlign w:val="center"/>
          </w:tcPr>
          <w:p w14:paraId="6B717E3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auto" w:sz="4" w:space="0"/>
              <w:left w:val="single" w:color="000000" w:sz="4" w:space="0"/>
              <w:bottom w:val="single" w:color="auto" w:sz="4" w:space="0"/>
              <w:right w:val="single" w:color="auto" w:sz="4" w:space="0"/>
            </w:tcBorders>
            <w:vAlign w:val="center"/>
          </w:tcPr>
          <w:p w14:paraId="7C0405E7">
            <w:pPr>
              <w:widowControl/>
              <w:jc w:val="center"/>
              <w:textAlignment w:val="center"/>
              <w:rPr>
                <w:rFonts w:hint="eastAsia" w:asciiTheme="minorEastAsia" w:hAnsiTheme="minorEastAsia" w:eastAsiaTheme="minorEastAsia" w:cstheme="minorEastAsia"/>
                <w:kern w:val="0"/>
                <w:sz w:val="15"/>
                <w:szCs w:val="15"/>
                <w:lang w:bidi="ar"/>
              </w:rPr>
            </w:pPr>
          </w:p>
        </w:tc>
      </w:tr>
      <w:tr w14:paraId="5C75C6AB">
        <w:tblPrEx>
          <w:tblCellMar>
            <w:top w:w="0" w:type="dxa"/>
            <w:left w:w="108" w:type="dxa"/>
            <w:bottom w:w="0" w:type="dxa"/>
            <w:right w:w="108" w:type="dxa"/>
          </w:tblCellMar>
        </w:tblPrEx>
        <w:trPr>
          <w:trHeight w:val="208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1E7CCC14">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auto" w:sz="4" w:space="0"/>
              <w:right w:val="single" w:color="auto" w:sz="4" w:space="0"/>
            </w:tcBorders>
            <w:vAlign w:val="center"/>
          </w:tcPr>
          <w:p w14:paraId="34ADF0D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资产管理（3）</w:t>
            </w:r>
          </w:p>
        </w:tc>
        <w:tc>
          <w:tcPr>
            <w:tcW w:w="866" w:type="pct"/>
            <w:tcBorders>
              <w:top w:val="single" w:color="auto" w:sz="4" w:space="0"/>
              <w:left w:val="single" w:color="auto" w:sz="4" w:space="0"/>
              <w:bottom w:val="single" w:color="000000" w:sz="4" w:space="0"/>
              <w:right w:val="single" w:color="000000" w:sz="4" w:space="0"/>
            </w:tcBorders>
            <w:vAlign w:val="center"/>
          </w:tcPr>
          <w:p w14:paraId="0FFD05D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资产管理规范性</w:t>
            </w:r>
          </w:p>
        </w:tc>
        <w:tc>
          <w:tcPr>
            <w:tcW w:w="462" w:type="pct"/>
            <w:tcBorders>
              <w:top w:val="single" w:color="auto" w:sz="4" w:space="0"/>
              <w:left w:val="single" w:color="000000" w:sz="4" w:space="0"/>
              <w:bottom w:val="single" w:color="000000" w:sz="4" w:space="0"/>
              <w:right w:val="single" w:color="000000" w:sz="4" w:space="0"/>
            </w:tcBorders>
            <w:vAlign w:val="center"/>
          </w:tcPr>
          <w:p w14:paraId="78D65A4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52" w:type="pct"/>
            <w:tcBorders>
              <w:top w:val="single" w:color="auto" w:sz="4" w:space="0"/>
              <w:left w:val="single" w:color="000000" w:sz="4" w:space="0"/>
              <w:bottom w:val="single" w:color="000000" w:sz="4" w:space="0"/>
              <w:right w:val="single" w:color="000000" w:sz="4" w:space="0"/>
            </w:tcBorders>
            <w:vAlign w:val="center"/>
          </w:tcPr>
          <w:p w14:paraId="5253419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000000" w:sz="4" w:space="0"/>
              <w:right w:val="single" w:color="auto" w:sz="4" w:space="0"/>
            </w:tcBorders>
            <w:vAlign w:val="center"/>
          </w:tcPr>
          <w:p w14:paraId="5F0752C8">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评价要点：①是否明确资产管理部门、 财务部门、使用部门的职责；②资产购置是否符合规定，新购资产入库管理是否规范（如编制采购计划、进行采购审核、验收等）；③报废、转让、捐赠等处置行为是否履行审批手续，处置是否及时。</w:t>
            </w:r>
          </w:p>
          <w:p w14:paraId="36FFAD3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w:t>
            </w:r>
          </w:p>
        </w:tc>
        <w:tc>
          <w:tcPr>
            <w:tcW w:w="416" w:type="pct"/>
            <w:tcBorders>
              <w:top w:val="single" w:color="auto" w:sz="4" w:space="0"/>
              <w:left w:val="single" w:color="auto" w:sz="4" w:space="0"/>
              <w:bottom w:val="single" w:color="auto" w:sz="4" w:space="0"/>
              <w:right w:val="single" w:color="auto" w:sz="4" w:space="0"/>
            </w:tcBorders>
            <w:vAlign w:val="center"/>
          </w:tcPr>
          <w:p w14:paraId="09A488F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较规范</w:t>
            </w:r>
          </w:p>
        </w:tc>
        <w:tc>
          <w:tcPr>
            <w:tcW w:w="316" w:type="pct"/>
            <w:tcBorders>
              <w:top w:val="single" w:color="auto" w:sz="4" w:space="0"/>
              <w:left w:val="single" w:color="auto" w:sz="4" w:space="0"/>
              <w:bottom w:val="single" w:color="auto" w:sz="4" w:space="0"/>
              <w:right w:val="single" w:color="auto" w:sz="4" w:space="0"/>
            </w:tcBorders>
            <w:vAlign w:val="center"/>
          </w:tcPr>
          <w:p w14:paraId="08276D3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0.50</w:t>
            </w:r>
          </w:p>
        </w:tc>
        <w:tc>
          <w:tcPr>
            <w:tcW w:w="464" w:type="pct"/>
            <w:tcBorders>
              <w:top w:val="single" w:color="auto" w:sz="4" w:space="0"/>
              <w:left w:val="single" w:color="auto" w:sz="4" w:space="0"/>
              <w:bottom w:val="single" w:color="auto" w:sz="4" w:space="0"/>
              <w:right w:val="single" w:color="auto" w:sz="4" w:space="0"/>
            </w:tcBorders>
            <w:vAlign w:val="center"/>
          </w:tcPr>
          <w:p w14:paraId="6B955F4C">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中心资产管理职责不够清晰。</w:t>
            </w:r>
          </w:p>
        </w:tc>
      </w:tr>
      <w:tr w14:paraId="1BA4509D">
        <w:tblPrEx>
          <w:tblCellMar>
            <w:top w:w="0" w:type="dxa"/>
            <w:left w:w="108" w:type="dxa"/>
            <w:bottom w:w="0" w:type="dxa"/>
            <w:right w:w="108" w:type="dxa"/>
          </w:tblCellMar>
        </w:tblPrEx>
        <w:trPr>
          <w:trHeight w:val="98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2D5362D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304A2D5">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auto" w:sz="4" w:space="0"/>
              <w:right w:val="single" w:color="000000" w:sz="4" w:space="0"/>
            </w:tcBorders>
            <w:vAlign w:val="center"/>
          </w:tcPr>
          <w:p w14:paraId="13E7AA7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固定资产利用率</w:t>
            </w:r>
          </w:p>
        </w:tc>
        <w:tc>
          <w:tcPr>
            <w:tcW w:w="462" w:type="pct"/>
            <w:tcBorders>
              <w:top w:val="single" w:color="000000" w:sz="4" w:space="0"/>
              <w:left w:val="single" w:color="000000" w:sz="4" w:space="0"/>
              <w:bottom w:val="single" w:color="auto" w:sz="4" w:space="0"/>
              <w:right w:val="single" w:color="000000" w:sz="4" w:space="0"/>
            </w:tcBorders>
            <w:vAlign w:val="center"/>
          </w:tcPr>
          <w:p w14:paraId="398325B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auto" w:sz="4" w:space="0"/>
              <w:right w:val="single" w:color="000000" w:sz="4" w:space="0"/>
            </w:tcBorders>
            <w:vAlign w:val="center"/>
          </w:tcPr>
          <w:p w14:paraId="7749D34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663C7FFF">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固定资产利用率=（实际在用固定资产数量/所有固定资产数量）×100%。</w:t>
            </w:r>
          </w:p>
          <w:p w14:paraId="3A07550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评分规则：得分=固定资产利用率×分值。</w:t>
            </w:r>
          </w:p>
        </w:tc>
        <w:tc>
          <w:tcPr>
            <w:tcW w:w="416" w:type="pct"/>
            <w:tcBorders>
              <w:top w:val="single" w:color="auto" w:sz="4" w:space="0"/>
              <w:left w:val="single" w:color="000000" w:sz="4" w:space="0"/>
              <w:bottom w:val="single" w:color="auto" w:sz="4" w:space="0"/>
              <w:right w:val="single" w:color="000000" w:sz="4" w:space="0"/>
            </w:tcBorders>
            <w:vAlign w:val="center"/>
          </w:tcPr>
          <w:p w14:paraId="4656670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89.20%</w:t>
            </w:r>
          </w:p>
        </w:tc>
        <w:tc>
          <w:tcPr>
            <w:tcW w:w="316" w:type="pct"/>
            <w:tcBorders>
              <w:top w:val="single" w:color="auto" w:sz="4" w:space="0"/>
              <w:left w:val="single" w:color="000000" w:sz="4" w:space="0"/>
              <w:bottom w:val="single" w:color="auto" w:sz="4" w:space="0"/>
              <w:right w:val="single" w:color="auto" w:sz="4" w:space="0"/>
            </w:tcBorders>
            <w:vAlign w:val="center"/>
          </w:tcPr>
          <w:p w14:paraId="7BBC58A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0.89 </w:t>
            </w:r>
          </w:p>
        </w:tc>
        <w:tc>
          <w:tcPr>
            <w:tcW w:w="464" w:type="pct"/>
            <w:tcBorders>
              <w:top w:val="single" w:color="auto" w:sz="4" w:space="0"/>
              <w:left w:val="single" w:color="auto" w:sz="4" w:space="0"/>
              <w:bottom w:val="single" w:color="auto" w:sz="4" w:space="0"/>
              <w:right w:val="single" w:color="auto" w:sz="4" w:space="0"/>
            </w:tcBorders>
            <w:vAlign w:val="center"/>
          </w:tcPr>
          <w:p w14:paraId="03A2E7D4">
            <w:pPr>
              <w:widowControl/>
              <w:jc w:val="left"/>
              <w:textAlignment w:val="center"/>
              <w:rPr>
                <w:rFonts w:hint="eastAsia" w:asciiTheme="minorEastAsia" w:hAnsiTheme="minorEastAsia" w:eastAsiaTheme="minorEastAsia" w:cstheme="minorEastAsia"/>
                <w:kern w:val="0"/>
                <w:sz w:val="15"/>
                <w:szCs w:val="15"/>
                <w:lang w:eastAsia="zh-CN" w:bidi="ar"/>
              </w:rPr>
            </w:pPr>
            <w:r>
              <w:rPr>
                <w:rFonts w:hint="eastAsia" w:asciiTheme="minorEastAsia" w:hAnsiTheme="minorEastAsia" w:eastAsiaTheme="minorEastAsia" w:cstheme="minorEastAsia"/>
                <w:kern w:val="0"/>
                <w:sz w:val="15"/>
                <w:szCs w:val="15"/>
                <w:highlight w:val="none"/>
                <w:lang w:bidi="ar"/>
              </w:rPr>
              <w:t>2024年资产卡片显示共有398项固定资产，待盘活固定资产43项，固定资产利用率89.20%</w:t>
            </w:r>
            <w:r>
              <w:rPr>
                <w:rFonts w:hint="eastAsia" w:asciiTheme="minorEastAsia" w:hAnsiTheme="minorEastAsia" w:eastAsiaTheme="minorEastAsia" w:cstheme="minorEastAsia"/>
                <w:kern w:val="0"/>
                <w:sz w:val="15"/>
                <w:szCs w:val="15"/>
                <w:highlight w:val="none"/>
                <w:lang w:eastAsia="zh-CN" w:bidi="ar"/>
              </w:rPr>
              <w:t>。</w:t>
            </w:r>
          </w:p>
        </w:tc>
      </w:tr>
      <w:tr w14:paraId="5DFD62EA">
        <w:tblPrEx>
          <w:tblCellMar>
            <w:top w:w="0" w:type="dxa"/>
            <w:left w:w="108" w:type="dxa"/>
            <w:bottom w:w="0" w:type="dxa"/>
            <w:right w:w="108" w:type="dxa"/>
          </w:tblCellMar>
        </w:tblPrEx>
        <w:trPr>
          <w:trHeight w:val="1580" w:hRule="atLeast"/>
        </w:trPr>
        <w:tc>
          <w:tcPr>
            <w:tcW w:w="318" w:type="pct"/>
            <w:vMerge w:val="continue"/>
            <w:tcBorders>
              <w:top w:val="single" w:color="000000" w:sz="4" w:space="0"/>
              <w:left w:val="single" w:color="000000" w:sz="4" w:space="0"/>
              <w:bottom w:val="single" w:color="000000" w:sz="4" w:space="0"/>
              <w:right w:val="single" w:color="auto" w:sz="4" w:space="0"/>
            </w:tcBorders>
            <w:vAlign w:val="center"/>
          </w:tcPr>
          <w:p w14:paraId="09B54B0A">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0B0C745C">
            <w:pPr>
              <w:jc w:val="center"/>
              <w:rPr>
                <w:rFonts w:hint="eastAsia" w:asciiTheme="minorEastAsia" w:hAnsiTheme="minorEastAsia" w:eastAsiaTheme="minorEastAsia" w:cstheme="minorEastAsia"/>
                <w:sz w:val="15"/>
                <w:szCs w:val="15"/>
              </w:rPr>
            </w:pPr>
          </w:p>
        </w:tc>
        <w:tc>
          <w:tcPr>
            <w:tcW w:w="866" w:type="pct"/>
            <w:tcBorders>
              <w:top w:val="single" w:color="auto" w:sz="4" w:space="0"/>
              <w:left w:val="single" w:color="auto" w:sz="4" w:space="0"/>
              <w:bottom w:val="single" w:color="auto" w:sz="4" w:space="0"/>
              <w:right w:val="single" w:color="000000" w:sz="4" w:space="0"/>
            </w:tcBorders>
            <w:vAlign w:val="center"/>
          </w:tcPr>
          <w:p w14:paraId="77D8A9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资产管理制度健全性</w:t>
            </w:r>
          </w:p>
        </w:tc>
        <w:tc>
          <w:tcPr>
            <w:tcW w:w="462" w:type="pct"/>
            <w:tcBorders>
              <w:top w:val="single" w:color="auto" w:sz="4" w:space="0"/>
              <w:left w:val="single" w:color="000000" w:sz="4" w:space="0"/>
              <w:bottom w:val="single" w:color="auto" w:sz="4" w:space="0"/>
              <w:right w:val="single" w:color="000000" w:sz="4" w:space="0"/>
            </w:tcBorders>
            <w:vAlign w:val="center"/>
          </w:tcPr>
          <w:p w14:paraId="4DFD399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auto" w:sz="4" w:space="0"/>
              <w:left w:val="single" w:color="000000" w:sz="4" w:space="0"/>
              <w:bottom w:val="single" w:color="auto" w:sz="4" w:space="0"/>
              <w:right w:val="single" w:color="000000" w:sz="4" w:space="0"/>
            </w:tcBorders>
            <w:vAlign w:val="center"/>
          </w:tcPr>
          <w:p w14:paraId="0696BC4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auto" w:sz="4" w:space="0"/>
              <w:left w:val="single" w:color="000000" w:sz="4" w:space="0"/>
              <w:bottom w:val="single" w:color="auto" w:sz="4" w:space="0"/>
              <w:right w:val="single" w:color="000000" w:sz="4" w:space="0"/>
            </w:tcBorders>
            <w:vAlign w:val="center"/>
          </w:tcPr>
          <w:p w14:paraId="5FC2D87F">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评价要点：①是否已制定或具有资产管理制度；②相关资金管理制度是否合法、合规、完整。</w:t>
            </w:r>
          </w:p>
          <w:p w14:paraId="50F86A0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auto" w:sz="4" w:space="0"/>
              <w:left w:val="single" w:color="000000" w:sz="4" w:space="0"/>
              <w:bottom w:val="single" w:color="auto" w:sz="4" w:space="0"/>
              <w:right w:val="single" w:color="000000" w:sz="4" w:space="0"/>
            </w:tcBorders>
            <w:vAlign w:val="center"/>
          </w:tcPr>
          <w:p w14:paraId="6507C1D1">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auto" w:sz="4" w:space="0"/>
              <w:left w:val="single" w:color="000000" w:sz="4" w:space="0"/>
              <w:bottom w:val="single" w:color="auto" w:sz="4" w:space="0"/>
              <w:right w:val="single" w:color="auto" w:sz="4" w:space="0"/>
            </w:tcBorders>
            <w:vAlign w:val="center"/>
          </w:tcPr>
          <w:p w14:paraId="75A348C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auto" w:sz="4" w:space="0"/>
              <w:left w:val="single" w:color="auto" w:sz="4" w:space="0"/>
              <w:bottom w:val="single" w:color="000000" w:sz="4" w:space="0"/>
              <w:right w:val="single" w:color="000000" w:sz="4" w:space="0"/>
            </w:tcBorders>
            <w:vAlign w:val="center"/>
          </w:tcPr>
          <w:p w14:paraId="142B58E1">
            <w:pPr>
              <w:widowControl/>
              <w:jc w:val="center"/>
              <w:textAlignment w:val="center"/>
              <w:rPr>
                <w:rFonts w:hint="eastAsia" w:asciiTheme="minorEastAsia" w:hAnsiTheme="minorEastAsia" w:eastAsiaTheme="minorEastAsia" w:cstheme="minorEastAsia"/>
                <w:kern w:val="0"/>
                <w:sz w:val="15"/>
                <w:szCs w:val="15"/>
                <w:lang w:bidi="ar"/>
              </w:rPr>
            </w:pPr>
          </w:p>
        </w:tc>
      </w:tr>
      <w:tr w14:paraId="7B204A2F">
        <w:tblPrEx>
          <w:tblCellMar>
            <w:top w:w="0" w:type="dxa"/>
            <w:left w:w="108" w:type="dxa"/>
            <w:bottom w:w="0" w:type="dxa"/>
            <w:right w:w="108" w:type="dxa"/>
          </w:tblCellMar>
        </w:tblPrEx>
        <w:trPr>
          <w:trHeight w:val="20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5CC8872B">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13F6667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项目管理（3）</w:t>
            </w:r>
          </w:p>
        </w:tc>
        <w:tc>
          <w:tcPr>
            <w:tcW w:w="866" w:type="pct"/>
            <w:tcBorders>
              <w:top w:val="single" w:color="auto" w:sz="4" w:space="0"/>
              <w:left w:val="single" w:color="000000" w:sz="4" w:space="0"/>
              <w:bottom w:val="single" w:color="000000" w:sz="4" w:space="0"/>
              <w:right w:val="single" w:color="000000" w:sz="4" w:space="0"/>
            </w:tcBorders>
            <w:vAlign w:val="center"/>
          </w:tcPr>
          <w:p w14:paraId="6EC6E2D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项目管理制度执行规范性</w:t>
            </w:r>
          </w:p>
        </w:tc>
        <w:tc>
          <w:tcPr>
            <w:tcW w:w="462" w:type="pct"/>
            <w:tcBorders>
              <w:top w:val="single" w:color="auto" w:sz="4" w:space="0"/>
              <w:left w:val="single" w:color="000000" w:sz="4" w:space="0"/>
              <w:bottom w:val="single" w:color="000000" w:sz="4" w:space="0"/>
              <w:right w:val="single" w:color="000000" w:sz="4" w:space="0"/>
            </w:tcBorders>
            <w:vAlign w:val="center"/>
          </w:tcPr>
          <w:p w14:paraId="5EFA121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52" w:type="pct"/>
            <w:tcBorders>
              <w:top w:val="single" w:color="auto" w:sz="4" w:space="0"/>
              <w:left w:val="single" w:color="000000" w:sz="4" w:space="0"/>
              <w:bottom w:val="single" w:color="000000" w:sz="4" w:space="0"/>
              <w:right w:val="single" w:color="000000" w:sz="4" w:space="0"/>
            </w:tcBorders>
            <w:vAlign w:val="center"/>
          </w:tcPr>
          <w:p w14:paraId="3A96275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1451" w:type="pct"/>
            <w:tcBorders>
              <w:top w:val="single" w:color="auto" w:sz="4" w:space="0"/>
              <w:left w:val="single" w:color="000000" w:sz="4" w:space="0"/>
              <w:bottom w:val="single" w:color="000000" w:sz="4" w:space="0"/>
              <w:right w:val="single" w:color="000000" w:sz="4" w:space="0"/>
            </w:tcBorders>
            <w:vAlign w:val="center"/>
          </w:tcPr>
          <w:p w14:paraId="2D7147DF">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项目管理工作机制是否健全，沟通协调是否顺畅；②项目是否按照要求规范严格地执行制度，包括可行性论证、概算、预算、施工设计、资金拨付、组织申报、政府采购、招投标、监理、中期检查、竣工验收、公开公示等。</w:t>
            </w:r>
          </w:p>
          <w:p w14:paraId="6DDF001D">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auto" w:sz="4" w:space="0"/>
              <w:left w:val="single" w:color="000000" w:sz="4" w:space="0"/>
              <w:bottom w:val="single" w:color="000000" w:sz="4" w:space="0"/>
              <w:right w:val="single" w:color="000000" w:sz="4" w:space="0"/>
            </w:tcBorders>
            <w:vAlign w:val="center"/>
          </w:tcPr>
          <w:p w14:paraId="1F144B0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规范</w:t>
            </w:r>
          </w:p>
        </w:tc>
        <w:tc>
          <w:tcPr>
            <w:tcW w:w="316" w:type="pct"/>
            <w:tcBorders>
              <w:top w:val="single" w:color="auto" w:sz="4" w:space="0"/>
              <w:left w:val="single" w:color="000000" w:sz="4" w:space="0"/>
              <w:bottom w:val="single" w:color="000000" w:sz="4" w:space="0"/>
              <w:right w:val="single" w:color="000000" w:sz="4" w:space="0"/>
            </w:tcBorders>
            <w:vAlign w:val="center"/>
          </w:tcPr>
          <w:p w14:paraId="688F13F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2.00 </w:t>
            </w:r>
          </w:p>
        </w:tc>
        <w:tc>
          <w:tcPr>
            <w:tcW w:w="464" w:type="pct"/>
            <w:tcBorders>
              <w:top w:val="single" w:color="000000" w:sz="4" w:space="0"/>
              <w:left w:val="single" w:color="000000" w:sz="4" w:space="0"/>
              <w:bottom w:val="single" w:color="000000" w:sz="4" w:space="0"/>
              <w:right w:val="single" w:color="000000" w:sz="4" w:space="0"/>
            </w:tcBorders>
            <w:vAlign w:val="center"/>
          </w:tcPr>
          <w:p w14:paraId="53FF1047">
            <w:pPr>
              <w:widowControl/>
              <w:jc w:val="center"/>
              <w:textAlignment w:val="center"/>
              <w:rPr>
                <w:rFonts w:hint="eastAsia" w:asciiTheme="minorEastAsia" w:hAnsiTheme="minorEastAsia" w:eastAsiaTheme="minorEastAsia" w:cstheme="minorEastAsia"/>
                <w:kern w:val="0"/>
                <w:sz w:val="15"/>
                <w:szCs w:val="15"/>
                <w:lang w:bidi="ar"/>
              </w:rPr>
            </w:pPr>
          </w:p>
        </w:tc>
      </w:tr>
      <w:tr w14:paraId="7DF79552">
        <w:tblPrEx>
          <w:tblCellMar>
            <w:top w:w="0" w:type="dxa"/>
            <w:left w:w="108" w:type="dxa"/>
            <w:bottom w:w="0" w:type="dxa"/>
            <w:right w:w="108" w:type="dxa"/>
          </w:tblCellMar>
        </w:tblPrEx>
        <w:trPr>
          <w:trHeight w:val="152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20CAD77A">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20B9141A">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7744E66F">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项目管理制度健全性</w:t>
            </w:r>
          </w:p>
        </w:tc>
        <w:tc>
          <w:tcPr>
            <w:tcW w:w="462" w:type="pct"/>
            <w:tcBorders>
              <w:top w:val="single" w:color="000000" w:sz="4" w:space="0"/>
              <w:left w:val="single" w:color="000000" w:sz="4" w:space="0"/>
              <w:bottom w:val="single" w:color="000000" w:sz="4" w:space="0"/>
              <w:right w:val="single" w:color="000000" w:sz="4" w:space="0"/>
            </w:tcBorders>
            <w:vAlign w:val="center"/>
          </w:tcPr>
          <w:p w14:paraId="29492AF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7702C65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408095D5">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评价要点：①是否已制定或具有相应的项目管理制度；②项目管理制度是否合法、合规、完整。</w:t>
            </w:r>
          </w:p>
          <w:p w14:paraId="2000E120">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5CC94CC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319486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29F02CE8">
            <w:pPr>
              <w:widowControl/>
              <w:jc w:val="center"/>
              <w:textAlignment w:val="center"/>
              <w:rPr>
                <w:rFonts w:hint="eastAsia" w:asciiTheme="minorEastAsia" w:hAnsiTheme="minorEastAsia" w:eastAsiaTheme="minorEastAsia" w:cstheme="minorEastAsia"/>
                <w:kern w:val="0"/>
                <w:sz w:val="15"/>
                <w:szCs w:val="15"/>
                <w:lang w:bidi="ar"/>
              </w:rPr>
            </w:pPr>
          </w:p>
        </w:tc>
      </w:tr>
      <w:tr w14:paraId="1D3A255F">
        <w:tblPrEx>
          <w:tblCellMar>
            <w:top w:w="0" w:type="dxa"/>
            <w:left w:w="108" w:type="dxa"/>
            <w:bottom w:w="0" w:type="dxa"/>
            <w:right w:w="108" w:type="dxa"/>
          </w:tblCellMar>
        </w:tblPrEx>
        <w:trPr>
          <w:trHeight w:val="152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1E287136">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108BF95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人员管理（3）</w:t>
            </w:r>
          </w:p>
        </w:tc>
        <w:tc>
          <w:tcPr>
            <w:tcW w:w="866" w:type="pct"/>
            <w:tcBorders>
              <w:top w:val="single" w:color="000000" w:sz="4" w:space="0"/>
              <w:left w:val="single" w:color="000000" w:sz="4" w:space="0"/>
              <w:bottom w:val="single" w:color="000000" w:sz="4" w:space="0"/>
              <w:right w:val="single" w:color="000000" w:sz="4" w:space="0"/>
            </w:tcBorders>
            <w:vAlign w:val="center"/>
          </w:tcPr>
          <w:p w14:paraId="64EA28F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人员管理制度执行有效性</w:t>
            </w:r>
          </w:p>
        </w:tc>
        <w:tc>
          <w:tcPr>
            <w:tcW w:w="462" w:type="pct"/>
            <w:tcBorders>
              <w:top w:val="single" w:color="000000" w:sz="4" w:space="0"/>
              <w:left w:val="single" w:color="000000" w:sz="4" w:space="0"/>
              <w:bottom w:val="single" w:color="000000" w:sz="4" w:space="0"/>
              <w:right w:val="single" w:color="000000" w:sz="4" w:space="0"/>
            </w:tcBorders>
            <w:vAlign w:val="center"/>
          </w:tcPr>
          <w:p w14:paraId="0632972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52" w:type="pct"/>
            <w:tcBorders>
              <w:top w:val="single" w:color="000000" w:sz="4" w:space="0"/>
              <w:left w:val="single" w:color="000000" w:sz="4" w:space="0"/>
              <w:bottom w:val="single" w:color="000000" w:sz="4" w:space="0"/>
              <w:right w:val="single" w:color="000000" w:sz="4" w:space="0"/>
            </w:tcBorders>
            <w:vAlign w:val="center"/>
          </w:tcPr>
          <w:p w14:paraId="5DDE4E1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3466EA2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评价要点：①年终组织个人、处（科）室考核，实施程序规范、资料完整；②考核结果切实运用。</w:t>
            </w:r>
          </w:p>
          <w:p w14:paraId="6B30ADA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4583E72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16" w:type="pct"/>
            <w:tcBorders>
              <w:top w:val="single" w:color="000000" w:sz="4" w:space="0"/>
              <w:left w:val="single" w:color="000000" w:sz="4" w:space="0"/>
              <w:bottom w:val="single" w:color="000000" w:sz="4" w:space="0"/>
              <w:right w:val="single" w:color="000000" w:sz="4" w:space="0"/>
            </w:tcBorders>
            <w:vAlign w:val="center"/>
          </w:tcPr>
          <w:p w14:paraId="7048394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DCB59A1">
            <w:pPr>
              <w:widowControl/>
              <w:jc w:val="center"/>
              <w:textAlignment w:val="center"/>
              <w:rPr>
                <w:rFonts w:hint="eastAsia" w:asciiTheme="minorEastAsia" w:hAnsiTheme="minorEastAsia" w:eastAsiaTheme="minorEastAsia" w:cstheme="minorEastAsia"/>
                <w:kern w:val="0"/>
                <w:sz w:val="15"/>
                <w:szCs w:val="15"/>
                <w:lang w:bidi="ar"/>
              </w:rPr>
            </w:pPr>
          </w:p>
        </w:tc>
      </w:tr>
      <w:tr w14:paraId="6396248F">
        <w:tblPrEx>
          <w:tblCellMar>
            <w:top w:w="0" w:type="dxa"/>
            <w:left w:w="108" w:type="dxa"/>
            <w:bottom w:w="0" w:type="dxa"/>
            <w:right w:w="108" w:type="dxa"/>
          </w:tblCellMar>
        </w:tblPrEx>
        <w:trPr>
          <w:trHeight w:val="184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5AB8639C">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6ED2370E">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1196F6B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在职人员控制率</w:t>
            </w:r>
          </w:p>
        </w:tc>
        <w:tc>
          <w:tcPr>
            <w:tcW w:w="462" w:type="pct"/>
            <w:tcBorders>
              <w:top w:val="single" w:color="000000" w:sz="4" w:space="0"/>
              <w:left w:val="single" w:color="000000" w:sz="4" w:space="0"/>
              <w:bottom w:val="single" w:color="000000" w:sz="4" w:space="0"/>
              <w:right w:val="single" w:color="000000" w:sz="4" w:space="0"/>
            </w:tcBorders>
            <w:vAlign w:val="center"/>
          </w:tcPr>
          <w:p w14:paraId="6782BFA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1DFEBA2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038B0F4">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在职人员控制率=（在职人员数/编制数）×100%。在职人员数：部门（单位）实际在职人数，以财政部确定的部门决算编制口径为准。编制数：机构编制部门核定批复的部门（单位）的人员编制数。</w:t>
            </w:r>
          </w:p>
          <w:p w14:paraId="29E9565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评分规则：1.比率≤100%，得满分；2.比率&gt;100%，每增加1%，扣5%的权重分，扣完为止。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77A2D97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63.41%</w:t>
            </w:r>
          </w:p>
        </w:tc>
        <w:tc>
          <w:tcPr>
            <w:tcW w:w="316" w:type="pct"/>
            <w:tcBorders>
              <w:top w:val="single" w:color="000000" w:sz="4" w:space="0"/>
              <w:left w:val="single" w:color="000000" w:sz="4" w:space="0"/>
              <w:bottom w:val="single" w:color="000000" w:sz="4" w:space="0"/>
              <w:right w:val="single" w:color="000000" w:sz="4" w:space="0"/>
            </w:tcBorders>
            <w:vAlign w:val="center"/>
          </w:tcPr>
          <w:p w14:paraId="3D7DA67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867DD01">
            <w:pPr>
              <w:widowControl/>
              <w:jc w:val="center"/>
              <w:textAlignment w:val="center"/>
              <w:rPr>
                <w:rFonts w:hint="eastAsia" w:asciiTheme="minorEastAsia" w:hAnsiTheme="minorEastAsia" w:eastAsiaTheme="minorEastAsia" w:cstheme="minorEastAsia"/>
                <w:kern w:val="0"/>
                <w:sz w:val="15"/>
                <w:szCs w:val="15"/>
                <w:lang w:bidi="ar"/>
              </w:rPr>
            </w:pPr>
          </w:p>
        </w:tc>
      </w:tr>
      <w:tr w14:paraId="1B5286B0">
        <w:tblPrEx>
          <w:tblCellMar>
            <w:top w:w="0" w:type="dxa"/>
            <w:left w:w="108" w:type="dxa"/>
            <w:bottom w:w="0" w:type="dxa"/>
            <w:right w:w="108" w:type="dxa"/>
          </w:tblCellMar>
        </w:tblPrEx>
        <w:trPr>
          <w:trHeight w:val="178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120580C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782B262A">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2A64167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人员管理制度健全性</w:t>
            </w:r>
          </w:p>
        </w:tc>
        <w:tc>
          <w:tcPr>
            <w:tcW w:w="462" w:type="pct"/>
            <w:tcBorders>
              <w:top w:val="single" w:color="000000" w:sz="4" w:space="0"/>
              <w:left w:val="single" w:color="000000" w:sz="4" w:space="0"/>
              <w:bottom w:val="single" w:color="000000" w:sz="4" w:space="0"/>
              <w:right w:val="single" w:color="000000" w:sz="4" w:space="0"/>
            </w:tcBorders>
            <w:vAlign w:val="center"/>
          </w:tcPr>
          <w:p w14:paraId="5CBE9AC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52" w:type="pct"/>
            <w:tcBorders>
              <w:top w:val="single" w:color="000000" w:sz="4" w:space="0"/>
              <w:left w:val="single" w:color="000000" w:sz="4" w:space="0"/>
              <w:bottom w:val="single" w:color="000000" w:sz="4" w:space="0"/>
              <w:right w:val="single" w:color="000000" w:sz="4" w:space="0"/>
            </w:tcBorders>
            <w:vAlign w:val="center"/>
          </w:tcPr>
          <w:p w14:paraId="1744FCC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4CA1CCAF">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评价要点：①有明确的组织架构和职责分工；②人员配备是否充足，是否能够保障单位履职需要；③是否存在以政府购买服务变相用工情况。</w:t>
            </w:r>
          </w:p>
          <w:p w14:paraId="76363B79">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评分规则：以上评价要点各占1/3分值，每个要点执行情况分为达成、部分达成、未达成三档，分别按分值的100%-80%（含）、80%-60%（含）、60%-0%合理确定分值。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1994925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健全</w:t>
            </w:r>
          </w:p>
        </w:tc>
        <w:tc>
          <w:tcPr>
            <w:tcW w:w="316" w:type="pct"/>
            <w:tcBorders>
              <w:top w:val="single" w:color="000000" w:sz="4" w:space="0"/>
              <w:left w:val="single" w:color="000000" w:sz="4" w:space="0"/>
              <w:bottom w:val="single" w:color="000000" w:sz="4" w:space="0"/>
              <w:right w:val="single" w:color="000000" w:sz="4" w:space="0"/>
            </w:tcBorders>
            <w:vAlign w:val="center"/>
          </w:tcPr>
          <w:p w14:paraId="73BFA19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19A64930">
            <w:pPr>
              <w:widowControl/>
              <w:jc w:val="center"/>
              <w:textAlignment w:val="center"/>
              <w:rPr>
                <w:rFonts w:hint="eastAsia" w:asciiTheme="minorEastAsia" w:hAnsiTheme="minorEastAsia" w:eastAsiaTheme="minorEastAsia" w:cstheme="minorEastAsia"/>
                <w:kern w:val="0"/>
                <w:sz w:val="15"/>
                <w:szCs w:val="15"/>
                <w:lang w:bidi="ar"/>
              </w:rPr>
            </w:pPr>
          </w:p>
        </w:tc>
      </w:tr>
      <w:tr w14:paraId="11C49A29">
        <w:tblPrEx>
          <w:tblCellMar>
            <w:top w:w="0" w:type="dxa"/>
            <w:left w:w="108" w:type="dxa"/>
            <w:bottom w:w="0" w:type="dxa"/>
            <w:right w:w="108" w:type="dxa"/>
          </w:tblCellMar>
        </w:tblPrEx>
        <w:trPr>
          <w:trHeight w:val="108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4805D605">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22F04D9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机构建设（3）</w:t>
            </w:r>
          </w:p>
        </w:tc>
        <w:tc>
          <w:tcPr>
            <w:tcW w:w="866" w:type="pct"/>
            <w:tcBorders>
              <w:top w:val="single" w:color="000000" w:sz="4" w:space="0"/>
              <w:left w:val="single" w:color="000000" w:sz="4" w:space="0"/>
              <w:bottom w:val="single" w:color="000000" w:sz="4" w:space="0"/>
              <w:right w:val="single" w:color="000000" w:sz="4" w:space="0"/>
            </w:tcBorders>
            <w:vAlign w:val="center"/>
          </w:tcPr>
          <w:p w14:paraId="77DE6B0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业务学习与培训及时完成率</w:t>
            </w:r>
          </w:p>
        </w:tc>
        <w:tc>
          <w:tcPr>
            <w:tcW w:w="462" w:type="pct"/>
            <w:tcBorders>
              <w:top w:val="single" w:color="000000" w:sz="4" w:space="0"/>
              <w:left w:val="single" w:color="000000" w:sz="4" w:space="0"/>
              <w:bottom w:val="single" w:color="000000" w:sz="4" w:space="0"/>
              <w:right w:val="single" w:color="000000" w:sz="4" w:space="0"/>
            </w:tcBorders>
            <w:vAlign w:val="center"/>
          </w:tcPr>
          <w:p w14:paraId="2ABCFA6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000000" w:sz="4" w:space="0"/>
              <w:right w:val="single" w:color="000000" w:sz="4" w:space="0"/>
            </w:tcBorders>
            <w:vAlign w:val="center"/>
          </w:tcPr>
          <w:p w14:paraId="2EE036C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6AA29B4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业务学习与培训及时完成率=（实际及时完成的业务学习与培训数/计划业务学习与培训数）×100%。</w:t>
            </w:r>
          </w:p>
          <w:p w14:paraId="7B2BDFF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评分规则：得分=业务学习与培训及时完成率×分值。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5D3BD32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000000" w:sz="4" w:space="0"/>
              <w:left w:val="single" w:color="000000" w:sz="4" w:space="0"/>
              <w:bottom w:val="single" w:color="000000" w:sz="4" w:space="0"/>
              <w:right w:val="single" w:color="000000" w:sz="4" w:space="0"/>
            </w:tcBorders>
            <w:vAlign w:val="center"/>
          </w:tcPr>
          <w:p w14:paraId="5B2089DC">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0A559F15">
            <w:pPr>
              <w:widowControl/>
              <w:jc w:val="center"/>
              <w:textAlignment w:val="center"/>
              <w:rPr>
                <w:rFonts w:hint="eastAsia" w:asciiTheme="minorEastAsia" w:hAnsiTheme="minorEastAsia" w:eastAsiaTheme="minorEastAsia" w:cstheme="minorEastAsia"/>
                <w:kern w:val="0"/>
                <w:sz w:val="15"/>
                <w:szCs w:val="15"/>
                <w:lang w:bidi="ar"/>
              </w:rPr>
            </w:pPr>
          </w:p>
        </w:tc>
      </w:tr>
      <w:tr w14:paraId="3CFEF201">
        <w:tblPrEx>
          <w:tblCellMar>
            <w:top w:w="0" w:type="dxa"/>
            <w:left w:w="108" w:type="dxa"/>
            <w:bottom w:w="0" w:type="dxa"/>
            <w:right w:w="108" w:type="dxa"/>
          </w:tblCellMar>
        </w:tblPrEx>
        <w:trPr>
          <w:trHeight w:val="1500" w:hRule="atLeast"/>
        </w:trPr>
        <w:tc>
          <w:tcPr>
            <w:tcW w:w="318" w:type="pct"/>
            <w:vMerge w:val="continue"/>
            <w:tcBorders>
              <w:top w:val="single" w:color="000000" w:sz="4" w:space="0"/>
              <w:left w:val="single" w:color="000000" w:sz="4" w:space="0"/>
              <w:bottom w:val="single" w:color="000000" w:sz="4" w:space="0"/>
              <w:right w:val="single" w:color="000000" w:sz="4" w:space="0"/>
            </w:tcBorders>
            <w:vAlign w:val="center"/>
          </w:tcPr>
          <w:p w14:paraId="3E5ACCD8">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3C714BEB">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617A3AD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纪检监察工作有效性</w:t>
            </w:r>
          </w:p>
        </w:tc>
        <w:tc>
          <w:tcPr>
            <w:tcW w:w="462" w:type="pct"/>
            <w:tcBorders>
              <w:top w:val="single" w:color="000000" w:sz="4" w:space="0"/>
              <w:left w:val="single" w:color="000000" w:sz="4" w:space="0"/>
              <w:bottom w:val="single" w:color="000000" w:sz="4" w:space="0"/>
              <w:right w:val="single" w:color="000000" w:sz="4" w:space="0"/>
            </w:tcBorders>
            <w:vAlign w:val="center"/>
          </w:tcPr>
          <w:p w14:paraId="2930BE2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52" w:type="pct"/>
            <w:tcBorders>
              <w:top w:val="single" w:color="000000" w:sz="4" w:space="0"/>
              <w:left w:val="single" w:color="000000" w:sz="4" w:space="0"/>
              <w:bottom w:val="single" w:color="000000" w:sz="4" w:space="0"/>
              <w:right w:val="single" w:color="000000" w:sz="4" w:space="0"/>
            </w:tcBorders>
            <w:vAlign w:val="center"/>
          </w:tcPr>
          <w:p w14:paraId="4DFB826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44C7B2DE">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评价要点：①纪检监督工作实施程序规范、相关资料完整；②纪检监督结果切实运用。</w:t>
            </w:r>
          </w:p>
          <w:p w14:paraId="3C25C09F">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评分规则：以上评价要点各占1/2分值，每个要点执行情况分为达成、部分达成、未达成三档，分别按分值的100%-80%（含）、80%-60%（含）、60%-0%合理确定分值。</w:t>
            </w:r>
          </w:p>
        </w:tc>
        <w:tc>
          <w:tcPr>
            <w:tcW w:w="416" w:type="pct"/>
            <w:tcBorders>
              <w:top w:val="single" w:color="000000" w:sz="4" w:space="0"/>
              <w:left w:val="single" w:color="000000" w:sz="4" w:space="0"/>
              <w:bottom w:val="single" w:color="000000" w:sz="4" w:space="0"/>
              <w:right w:val="single" w:color="000000" w:sz="4" w:space="0"/>
            </w:tcBorders>
            <w:vAlign w:val="center"/>
          </w:tcPr>
          <w:p w14:paraId="0F5B62AA">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有效</w:t>
            </w:r>
          </w:p>
        </w:tc>
        <w:tc>
          <w:tcPr>
            <w:tcW w:w="316" w:type="pct"/>
            <w:tcBorders>
              <w:top w:val="single" w:color="000000" w:sz="4" w:space="0"/>
              <w:left w:val="single" w:color="000000" w:sz="4" w:space="0"/>
              <w:bottom w:val="single" w:color="000000" w:sz="4" w:space="0"/>
              <w:right w:val="single" w:color="000000" w:sz="4" w:space="0"/>
            </w:tcBorders>
            <w:vAlign w:val="center"/>
          </w:tcPr>
          <w:p w14:paraId="3FE4D18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4845E8C0">
            <w:pPr>
              <w:widowControl/>
              <w:jc w:val="center"/>
              <w:textAlignment w:val="center"/>
              <w:rPr>
                <w:rFonts w:hint="eastAsia" w:asciiTheme="minorEastAsia" w:hAnsiTheme="minorEastAsia" w:eastAsiaTheme="minorEastAsia" w:cstheme="minorEastAsia"/>
                <w:kern w:val="0"/>
                <w:sz w:val="15"/>
                <w:szCs w:val="15"/>
                <w:lang w:bidi="ar"/>
              </w:rPr>
            </w:pPr>
          </w:p>
        </w:tc>
      </w:tr>
      <w:tr w14:paraId="28E4BB7E">
        <w:tblPrEx>
          <w:tblCellMar>
            <w:top w:w="0" w:type="dxa"/>
            <w:left w:w="108" w:type="dxa"/>
            <w:bottom w:w="0" w:type="dxa"/>
            <w:right w:w="108" w:type="dxa"/>
          </w:tblCellMar>
        </w:tblPrEx>
        <w:trPr>
          <w:trHeight w:val="960" w:hRule="atLeast"/>
        </w:trPr>
        <w:tc>
          <w:tcPr>
            <w:tcW w:w="318" w:type="pct"/>
            <w:vMerge w:val="continue"/>
            <w:tcBorders>
              <w:top w:val="single" w:color="000000" w:sz="4" w:space="0"/>
              <w:left w:val="single" w:color="000000" w:sz="4" w:space="0"/>
              <w:bottom w:val="single" w:color="auto" w:sz="4" w:space="0"/>
              <w:right w:val="single" w:color="000000" w:sz="4" w:space="0"/>
            </w:tcBorders>
            <w:vAlign w:val="center"/>
          </w:tcPr>
          <w:p w14:paraId="1B96EB8E">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07D75C3D">
            <w:pPr>
              <w:jc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auto" w:sz="4" w:space="0"/>
              <w:right w:val="single" w:color="000000" w:sz="4" w:space="0"/>
            </w:tcBorders>
            <w:vAlign w:val="center"/>
          </w:tcPr>
          <w:p w14:paraId="6BFA45BB">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组织建设工作及时完成率</w:t>
            </w:r>
          </w:p>
        </w:tc>
        <w:tc>
          <w:tcPr>
            <w:tcW w:w="462" w:type="pct"/>
            <w:tcBorders>
              <w:top w:val="single" w:color="000000" w:sz="4" w:space="0"/>
              <w:left w:val="single" w:color="000000" w:sz="4" w:space="0"/>
              <w:bottom w:val="single" w:color="auto" w:sz="4" w:space="0"/>
              <w:right w:val="single" w:color="000000" w:sz="4" w:space="0"/>
            </w:tcBorders>
            <w:vAlign w:val="center"/>
          </w:tcPr>
          <w:p w14:paraId="7B52124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52" w:type="pct"/>
            <w:tcBorders>
              <w:top w:val="single" w:color="000000" w:sz="4" w:space="0"/>
              <w:left w:val="single" w:color="000000" w:sz="4" w:space="0"/>
              <w:bottom w:val="single" w:color="auto" w:sz="4" w:space="0"/>
              <w:right w:val="single" w:color="000000" w:sz="4" w:space="0"/>
            </w:tcBorders>
            <w:vAlign w:val="center"/>
          </w:tcPr>
          <w:p w14:paraId="169393F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1451" w:type="pct"/>
            <w:tcBorders>
              <w:top w:val="single" w:color="000000" w:sz="4" w:space="0"/>
              <w:left w:val="single" w:color="000000" w:sz="4" w:space="0"/>
              <w:bottom w:val="single" w:color="auto" w:sz="4" w:space="0"/>
              <w:right w:val="single" w:color="000000" w:sz="4" w:space="0"/>
            </w:tcBorders>
            <w:vAlign w:val="center"/>
          </w:tcPr>
          <w:p w14:paraId="369F6B47">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组织建设工作完成率=（实际及时完成的组织建设工作数/计划组织建设工作数）×100%。</w:t>
            </w:r>
          </w:p>
          <w:p w14:paraId="1CE35DC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评分规则：得分=业务学习与培训及时完成率×分值。</w:t>
            </w:r>
          </w:p>
        </w:tc>
        <w:tc>
          <w:tcPr>
            <w:tcW w:w="416" w:type="pct"/>
            <w:tcBorders>
              <w:top w:val="single" w:color="000000" w:sz="4" w:space="0"/>
              <w:left w:val="single" w:color="000000" w:sz="4" w:space="0"/>
              <w:bottom w:val="single" w:color="auto" w:sz="4" w:space="0"/>
              <w:right w:val="single" w:color="000000" w:sz="4" w:space="0"/>
            </w:tcBorders>
            <w:vAlign w:val="center"/>
          </w:tcPr>
          <w:p w14:paraId="5990A29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100%</w:t>
            </w:r>
          </w:p>
        </w:tc>
        <w:tc>
          <w:tcPr>
            <w:tcW w:w="316" w:type="pct"/>
            <w:tcBorders>
              <w:top w:val="single" w:color="000000" w:sz="4" w:space="0"/>
              <w:left w:val="single" w:color="000000" w:sz="4" w:space="0"/>
              <w:bottom w:val="single" w:color="auto" w:sz="4" w:space="0"/>
              <w:right w:val="single" w:color="000000" w:sz="4" w:space="0"/>
            </w:tcBorders>
            <w:vAlign w:val="center"/>
          </w:tcPr>
          <w:p w14:paraId="1CBA166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 </w:t>
            </w:r>
          </w:p>
        </w:tc>
        <w:tc>
          <w:tcPr>
            <w:tcW w:w="464" w:type="pct"/>
            <w:tcBorders>
              <w:top w:val="single" w:color="000000" w:sz="4" w:space="0"/>
              <w:left w:val="single" w:color="000000" w:sz="4" w:space="0"/>
              <w:bottom w:val="single" w:color="000000" w:sz="4" w:space="0"/>
              <w:right w:val="single" w:color="000000" w:sz="4" w:space="0"/>
            </w:tcBorders>
            <w:vAlign w:val="center"/>
          </w:tcPr>
          <w:p w14:paraId="29FB4DCF">
            <w:pPr>
              <w:widowControl/>
              <w:jc w:val="center"/>
              <w:textAlignment w:val="center"/>
              <w:rPr>
                <w:rFonts w:hint="eastAsia" w:asciiTheme="minorEastAsia" w:hAnsiTheme="minorEastAsia" w:eastAsiaTheme="minorEastAsia" w:cstheme="minorEastAsia"/>
                <w:kern w:val="0"/>
                <w:sz w:val="15"/>
                <w:szCs w:val="15"/>
                <w:lang w:bidi="ar"/>
              </w:rPr>
            </w:pPr>
          </w:p>
        </w:tc>
      </w:tr>
      <w:tr w14:paraId="1448E4EB">
        <w:tblPrEx>
          <w:tblCellMar>
            <w:top w:w="0" w:type="dxa"/>
            <w:left w:w="108" w:type="dxa"/>
            <w:bottom w:w="0" w:type="dxa"/>
            <w:right w:w="108" w:type="dxa"/>
          </w:tblCellMar>
        </w:tblPrEx>
        <w:trPr>
          <w:trHeight w:val="2320" w:hRule="atLeast"/>
        </w:trPr>
        <w:tc>
          <w:tcPr>
            <w:tcW w:w="318" w:type="pct"/>
            <w:vMerge w:val="restart"/>
            <w:tcBorders>
              <w:top w:val="single" w:color="auto" w:sz="4" w:space="0"/>
              <w:left w:val="single" w:color="auto" w:sz="4" w:space="0"/>
              <w:bottom w:val="single" w:color="000000" w:sz="4" w:space="0"/>
              <w:right w:val="single" w:color="000000" w:sz="4" w:space="0"/>
            </w:tcBorders>
            <w:vAlign w:val="center"/>
          </w:tcPr>
          <w:p w14:paraId="69F99A9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履职（40）</w:t>
            </w:r>
          </w:p>
        </w:tc>
        <w:tc>
          <w:tcPr>
            <w:tcW w:w="353" w:type="pct"/>
            <w:vMerge w:val="restart"/>
            <w:tcBorders>
              <w:top w:val="single" w:color="auto" w:sz="4" w:space="0"/>
              <w:left w:val="single" w:color="000000" w:sz="4" w:space="0"/>
              <w:bottom w:val="single" w:color="auto" w:sz="4" w:space="0"/>
              <w:right w:val="single" w:color="000000" w:sz="4" w:space="0"/>
            </w:tcBorders>
            <w:vAlign w:val="center"/>
          </w:tcPr>
          <w:p w14:paraId="27ABF662">
            <w:pPr>
              <w:widowControl/>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节能技术服务（16）</w:t>
            </w:r>
          </w:p>
        </w:tc>
        <w:tc>
          <w:tcPr>
            <w:tcW w:w="866" w:type="pct"/>
            <w:tcBorders>
              <w:top w:val="single" w:color="auto" w:sz="4" w:space="0"/>
              <w:left w:val="single" w:color="000000" w:sz="4" w:space="0"/>
              <w:bottom w:val="single" w:color="000000" w:sz="4" w:space="0"/>
              <w:right w:val="single" w:color="000000" w:sz="4" w:space="0"/>
            </w:tcBorders>
            <w:vAlign w:val="center"/>
          </w:tcPr>
          <w:p w14:paraId="0B17E68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全</w:t>
            </w:r>
            <w:r>
              <w:rPr>
                <w:rFonts w:hint="eastAsia" w:asciiTheme="minorEastAsia" w:hAnsiTheme="minorEastAsia" w:eastAsiaTheme="minorEastAsia" w:cstheme="minorEastAsia"/>
                <w:sz w:val="15"/>
                <w:szCs w:val="15"/>
                <w:highlight w:val="none"/>
              </w:rPr>
              <w:t>力做好固定资产投资项目节能评审和重点用能单位能效水平评估</w:t>
            </w:r>
          </w:p>
        </w:tc>
        <w:tc>
          <w:tcPr>
            <w:tcW w:w="462" w:type="pct"/>
            <w:tcBorders>
              <w:top w:val="single" w:color="auto" w:sz="4" w:space="0"/>
              <w:left w:val="single" w:color="000000" w:sz="4" w:space="0"/>
              <w:bottom w:val="single" w:color="000000" w:sz="4" w:space="0"/>
              <w:right w:val="single" w:color="000000" w:sz="4" w:space="0"/>
            </w:tcBorders>
            <w:vAlign w:val="center"/>
          </w:tcPr>
          <w:p w14:paraId="2EF42D4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auto" w:sz="4" w:space="0"/>
              <w:left w:val="single" w:color="000000" w:sz="4" w:space="0"/>
              <w:bottom w:val="single" w:color="000000" w:sz="4" w:space="0"/>
              <w:right w:val="single" w:color="000000" w:sz="4" w:space="0"/>
            </w:tcBorders>
            <w:vAlign w:val="center"/>
          </w:tcPr>
          <w:p w14:paraId="6879BAE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auto" w:sz="4" w:space="0"/>
              <w:left w:val="single" w:color="000000" w:sz="4" w:space="0"/>
              <w:bottom w:val="single" w:color="000000" w:sz="4" w:space="0"/>
              <w:right w:val="single" w:color="000000" w:sz="4" w:space="0"/>
            </w:tcBorders>
            <w:vAlign w:val="center"/>
          </w:tcPr>
          <w:p w14:paraId="2104466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评价要点：考察节能中心根据要求制定完善方案的进度和质量情况。</w:t>
            </w:r>
          </w:p>
          <w:p w14:paraId="3C0CA08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auto" w:sz="4" w:space="0"/>
              <w:left w:val="single" w:color="000000" w:sz="4" w:space="0"/>
              <w:bottom w:val="single" w:color="000000" w:sz="4" w:space="0"/>
              <w:right w:val="single" w:color="000000" w:sz="4" w:space="0"/>
            </w:tcBorders>
            <w:vAlign w:val="center"/>
          </w:tcPr>
          <w:p w14:paraId="4B7711B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auto" w:sz="4" w:space="0"/>
              <w:left w:val="single" w:color="000000" w:sz="4" w:space="0"/>
              <w:bottom w:val="single" w:color="000000" w:sz="4" w:space="0"/>
              <w:right w:val="single" w:color="auto" w:sz="4" w:space="0"/>
            </w:tcBorders>
            <w:vAlign w:val="center"/>
          </w:tcPr>
          <w:p w14:paraId="31F0706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7015ED98">
            <w:pPr>
              <w:widowControl/>
              <w:jc w:val="center"/>
              <w:textAlignment w:val="center"/>
              <w:rPr>
                <w:rFonts w:hint="eastAsia" w:asciiTheme="minorEastAsia" w:hAnsiTheme="minorEastAsia" w:eastAsiaTheme="minorEastAsia" w:cstheme="minorEastAsia"/>
                <w:kern w:val="0"/>
                <w:sz w:val="15"/>
                <w:szCs w:val="15"/>
                <w:lang w:bidi="ar"/>
              </w:rPr>
            </w:pPr>
          </w:p>
        </w:tc>
      </w:tr>
      <w:tr w14:paraId="11ED9BEE">
        <w:tblPrEx>
          <w:tblCellMar>
            <w:top w:w="0" w:type="dxa"/>
            <w:left w:w="108" w:type="dxa"/>
            <w:bottom w:w="0" w:type="dxa"/>
            <w:right w:w="108" w:type="dxa"/>
          </w:tblCellMar>
        </w:tblPrEx>
        <w:trPr>
          <w:trHeight w:val="2480" w:hRule="atLeast"/>
        </w:trPr>
        <w:tc>
          <w:tcPr>
            <w:tcW w:w="318" w:type="pct"/>
            <w:vMerge w:val="continue"/>
            <w:tcBorders>
              <w:top w:val="single" w:color="000000" w:sz="4" w:space="0"/>
              <w:left w:val="single" w:color="auto" w:sz="4" w:space="0"/>
              <w:bottom w:val="single" w:color="000000" w:sz="4" w:space="0"/>
              <w:right w:val="single" w:color="000000" w:sz="4" w:space="0"/>
            </w:tcBorders>
            <w:vAlign w:val="center"/>
          </w:tcPr>
          <w:p w14:paraId="4B82D939">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000000" w:sz="4" w:space="0"/>
              <w:bottom w:val="single" w:color="auto" w:sz="4" w:space="0"/>
              <w:right w:val="single" w:color="000000" w:sz="4" w:space="0"/>
            </w:tcBorders>
            <w:vAlign w:val="center"/>
          </w:tcPr>
          <w:p w14:paraId="75D42EFA">
            <w:pPr>
              <w:widowControl/>
              <w:jc w:val="left"/>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000000" w:sz="4" w:space="0"/>
              <w:bottom w:val="single" w:color="000000" w:sz="4" w:space="0"/>
              <w:right w:val="single" w:color="000000" w:sz="4" w:space="0"/>
            </w:tcBorders>
            <w:vAlign w:val="center"/>
          </w:tcPr>
          <w:p w14:paraId="681B33C4">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为用能单位提供节能诊断、能源审</w:t>
            </w:r>
            <w:r>
              <w:rPr>
                <w:rFonts w:hint="eastAsia" w:asciiTheme="minorEastAsia" w:hAnsiTheme="minorEastAsia" w:eastAsiaTheme="minorEastAsia" w:cstheme="minorEastAsia"/>
                <w:sz w:val="15"/>
                <w:szCs w:val="15"/>
                <w:highlight w:val="none"/>
              </w:rPr>
              <w:t>计</w:t>
            </w:r>
            <w:r>
              <w:rPr>
                <w:rFonts w:hint="eastAsia" w:asciiTheme="minorEastAsia" w:hAnsiTheme="minorEastAsia" w:eastAsiaTheme="minorEastAsia" w:cstheme="minorEastAsia"/>
                <w:sz w:val="15"/>
                <w:szCs w:val="15"/>
                <w:highlight w:val="none"/>
                <w:lang w:val="en-US" w:eastAsia="zh-CN"/>
              </w:rPr>
              <w:t>等</w:t>
            </w:r>
            <w:r>
              <w:rPr>
                <w:rFonts w:hint="eastAsia" w:asciiTheme="minorEastAsia" w:hAnsiTheme="minorEastAsia" w:eastAsiaTheme="minorEastAsia" w:cstheme="minorEastAsia"/>
                <w:sz w:val="15"/>
                <w:szCs w:val="15"/>
                <w:highlight w:val="none"/>
              </w:rPr>
              <w:t>技术</w:t>
            </w:r>
            <w:r>
              <w:rPr>
                <w:rFonts w:hint="eastAsia" w:asciiTheme="minorEastAsia" w:hAnsiTheme="minorEastAsia" w:eastAsiaTheme="minorEastAsia" w:cstheme="minorEastAsia"/>
                <w:sz w:val="15"/>
                <w:szCs w:val="15"/>
              </w:rPr>
              <w:t>支持，协助用能单位（园区）创建绿色工厂（绿色产品、绿色供应链、绿色园区）</w:t>
            </w:r>
          </w:p>
        </w:tc>
        <w:tc>
          <w:tcPr>
            <w:tcW w:w="462" w:type="pct"/>
            <w:tcBorders>
              <w:top w:val="single" w:color="000000" w:sz="4" w:space="0"/>
              <w:left w:val="single" w:color="000000" w:sz="4" w:space="0"/>
              <w:bottom w:val="single" w:color="000000" w:sz="4" w:space="0"/>
              <w:right w:val="single" w:color="000000" w:sz="4" w:space="0"/>
            </w:tcBorders>
            <w:vAlign w:val="center"/>
          </w:tcPr>
          <w:p w14:paraId="769DC54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1DA66E9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14EE68DC">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评价要点：考察节能中心为企事业单位提供节能技术服务支持情况。</w:t>
            </w:r>
          </w:p>
          <w:p w14:paraId="1939820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4E3D6882">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24DF1EA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1EA74422">
            <w:pPr>
              <w:widowControl/>
              <w:jc w:val="center"/>
              <w:textAlignment w:val="center"/>
              <w:rPr>
                <w:rFonts w:hint="eastAsia" w:asciiTheme="minorEastAsia" w:hAnsiTheme="minorEastAsia" w:eastAsiaTheme="minorEastAsia" w:cstheme="minorEastAsia"/>
                <w:kern w:val="0"/>
                <w:sz w:val="15"/>
                <w:szCs w:val="15"/>
                <w:lang w:bidi="ar"/>
              </w:rPr>
            </w:pPr>
          </w:p>
        </w:tc>
      </w:tr>
      <w:tr w14:paraId="1DD27AC0">
        <w:tblPrEx>
          <w:tblCellMar>
            <w:top w:w="0" w:type="dxa"/>
            <w:left w:w="108" w:type="dxa"/>
            <w:bottom w:w="0" w:type="dxa"/>
            <w:right w:w="108" w:type="dxa"/>
          </w:tblCellMar>
        </w:tblPrEx>
        <w:trPr>
          <w:trHeight w:val="2040" w:hRule="atLeast"/>
        </w:trPr>
        <w:tc>
          <w:tcPr>
            <w:tcW w:w="318" w:type="pct"/>
            <w:vMerge w:val="continue"/>
            <w:tcBorders>
              <w:top w:val="single" w:color="000000" w:sz="4" w:space="0"/>
              <w:left w:val="single" w:color="auto" w:sz="4" w:space="0"/>
              <w:bottom w:val="single" w:color="000000" w:sz="4" w:space="0"/>
              <w:right w:val="single" w:color="auto" w:sz="4" w:space="0"/>
            </w:tcBorders>
            <w:vAlign w:val="center"/>
          </w:tcPr>
          <w:p w14:paraId="6383A930">
            <w:pPr>
              <w:jc w:val="center"/>
              <w:rPr>
                <w:rFonts w:hint="eastAsia" w:asciiTheme="minorEastAsia" w:hAnsiTheme="minorEastAsia" w:eastAsiaTheme="minorEastAsia" w:cstheme="minorEastAsia"/>
                <w:sz w:val="15"/>
                <w:szCs w:val="15"/>
              </w:rPr>
            </w:pPr>
          </w:p>
        </w:tc>
        <w:tc>
          <w:tcPr>
            <w:tcW w:w="353" w:type="pct"/>
            <w:vMerge w:val="restart"/>
            <w:tcBorders>
              <w:top w:val="single" w:color="auto" w:sz="4" w:space="0"/>
              <w:left w:val="single" w:color="auto" w:sz="4" w:space="0"/>
              <w:bottom w:val="single" w:color="auto" w:sz="4" w:space="0"/>
              <w:right w:val="single" w:color="auto" w:sz="4" w:space="0"/>
            </w:tcBorders>
            <w:vAlign w:val="center"/>
          </w:tcPr>
          <w:p w14:paraId="4CFE8B53">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节能宣传、培训及推广（24）</w:t>
            </w:r>
          </w:p>
        </w:tc>
        <w:tc>
          <w:tcPr>
            <w:tcW w:w="866" w:type="pct"/>
            <w:tcBorders>
              <w:top w:val="single" w:color="000000" w:sz="4" w:space="0"/>
              <w:left w:val="single" w:color="auto" w:sz="4" w:space="0"/>
              <w:bottom w:val="single" w:color="000000" w:sz="4" w:space="0"/>
              <w:right w:val="single" w:color="000000" w:sz="4" w:space="0"/>
            </w:tcBorders>
            <w:vAlign w:val="center"/>
          </w:tcPr>
          <w:p w14:paraId="5C33D6C7">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节能宣传周期间，围绕“六个一”开展系列节能宣传活动；日常借助期刊、网站等载体开展节能公益宣传</w:t>
            </w:r>
          </w:p>
        </w:tc>
        <w:tc>
          <w:tcPr>
            <w:tcW w:w="462" w:type="pct"/>
            <w:tcBorders>
              <w:top w:val="single" w:color="000000" w:sz="4" w:space="0"/>
              <w:left w:val="single" w:color="000000" w:sz="4" w:space="0"/>
              <w:bottom w:val="single" w:color="000000" w:sz="4" w:space="0"/>
              <w:right w:val="single" w:color="000000" w:sz="4" w:space="0"/>
            </w:tcBorders>
            <w:vAlign w:val="center"/>
          </w:tcPr>
          <w:p w14:paraId="4BC3722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23FEFE3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86A3DE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评价要点：考察①节能宣传周期间，节能中心面向全市工业企业、公共机构和广大市民节能宣传情况；②节能中心日常借助期刊、网站等载体开展节能公益宣传情况。</w:t>
            </w:r>
          </w:p>
          <w:p w14:paraId="6ED463F5">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650BA6F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0B1025A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058015D7">
            <w:pPr>
              <w:widowControl/>
              <w:jc w:val="center"/>
              <w:textAlignment w:val="center"/>
              <w:rPr>
                <w:rFonts w:hint="eastAsia" w:asciiTheme="minorEastAsia" w:hAnsiTheme="minorEastAsia" w:eastAsiaTheme="minorEastAsia" w:cstheme="minorEastAsia"/>
                <w:kern w:val="0"/>
                <w:sz w:val="15"/>
                <w:szCs w:val="15"/>
                <w:lang w:bidi="ar"/>
              </w:rPr>
            </w:pPr>
          </w:p>
        </w:tc>
      </w:tr>
      <w:tr w14:paraId="244B2439">
        <w:tblPrEx>
          <w:tblCellMar>
            <w:top w:w="0" w:type="dxa"/>
            <w:left w:w="108" w:type="dxa"/>
            <w:bottom w:w="0" w:type="dxa"/>
            <w:right w:w="108" w:type="dxa"/>
          </w:tblCellMar>
        </w:tblPrEx>
        <w:trPr>
          <w:trHeight w:val="1180" w:hRule="atLeast"/>
        </w:trPr>
        <w:tc>
          <w:tcPr>
            <w:tcW w:w="318" w:type="pct"/>
            <w:vMerge w:val="continue"/>
            <w:tcBorders>
              <w:top w:val="single" w:color="000000" w:sz="4" w:space="0"/>
              <w:left w:val="single" w:color="auto" w:sz="4" w:space="0"/>
              <w:bottom w:val="single" w:color="000000" w:sz="4" w:space="0"/>
              <w:right w:val="single" w:color="auto" w:sz="4" w:space="0"/>
            </w:tcBorders>
            <w:vAlign w:val="center"/>
          </w:tcPr>
          <w:p w14:paraId="2EBBE095">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8A37CE2">
            <w:pPr>
              <w:widowControl/>
              <w:jc w:val="center"/>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000000" w:sz="4" w:space="0"/>
            </w:tcBorders>
            <w:vAlign w:val="center"/>
          </w:tcPr>
          <w:p w14:paraId="32FAD241">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对全市用能单位能管人员开展节能业务培训</w:t>
            </w:r>
          </w:p>
        </w:tc>
        <w:tc>
          <w:tcPr>
            <w:tcW w:w="462" w:type="pct"/>
            <w:tcBorders>
              <w:top w:val="single" w:color="000000" w:sz="4" w:space="0"/>
              <w:left w:val="single" w:color="000000" w:sz="4" w:space="0"/>
              <w:bottom w:val="single" w:color="000000" w:sz="4" w:space="0"/>
              <w:right w:val="single" w:color="000000" w:sz="4" w:space="0"/>
            </w:tcBorders>
            <w:vAlign w:val="center"/>
          </w:tcPr>
          <w:p w14:paraId="5B60CDAB">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2BBF12F5">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5C4701D1">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评价要点：考察节能中心对全市用能单位能管人员开展节能业务培训情况。</w:t>
            </w:r>
          </w:p>
          <w:p w14:paraId="2B1D8D56">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27C3F0F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2300DE19">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735523CB">
            <w:pPr>
              <w:widowControl/>
              <w:jc w:val="center"/>
              <w:textAlignment w:val="center"/>
              <w:rPr>
                <w:rFonts w:hint="eastAsia" w:asciiTheme="minorEastAsia" w:hAnsiTheme="minorEastAsia" w:eastAsiaTheme="minorEastAsia" w:cstheme="minorEastAsia"/>
                <w:kern w:val="0"/>
                <w:sz w:val="15"/>
                <w:szCs w:val="15"/>
                <w:lang w:bidi="ar"/>
              </w:rPr>
            </w:pPr>
          </w:p>
        </w:tc>
      </w:tr>
      <w:tr w14:paraId="537F2238">
        <w:tblPrEx>
          <w:tblCellMar>
            <w:top w:w="0" w:type="dxa"/>
            <w:left w:w="108" w:type="dxa"/>
            <w:bottom w:w="0" w:type="dxa"/>
            <w:right w:w="108" w:type="dxa"/>
          </w:tblCellMar>
        </w:tblPrEx>
        <w:trPr>
          <w:trHeight w:val="1420" w:hRule="atLeast"/>
        </w:trPr>
        <w:tc>
          <w:tcPr>
            <w:tcW w:w="318" w:type="pct"/>
            <w:vMerge w:val="continue"/>
            <w:tcBorders>
              <w:top w:val="single" w:color="000000" w:sz="4" w:space="0"/>
              <w:left w:val="single" w:color="auto" w:sz="4" w:space="0"/>
              <w:bottom w:val="single" w:color="000000" w:sz="4" w:space="0"/>
              <w:right w:val="single" w:color="auto" w:sz="4" w:space="0"/>
            </w:tcBorders>
            <w:vAlign w:val="center"/>
          </w:tcPr>
          <w:p w14:paraId="71B973BF">
            <w:pPr>
              <w:jc w:val="center"/>
              <w:rPr>
                <w:rFonts w:hint="eastAsia" w:asciiTheme="minorEastAsia" w:hAnsiTheme="minorEastAsia" w:eastAsiaTheme="minorEastAsia" w:cstheme="minorEastAsia"/>
                <w:sz w:val="15"/>
                <w:szCs w:val="15"/>
              </w:rPr>
            </w:pPr>
          </w:p>
        </w:tc>
        <w:tc>
          <w:tcPr>
            <w:tcW w:w="353" w:type="pct"/>
            <w:vMerge w:val="continue"/>
            <w:tcBorders>
              <w:top w:val="single" w:color="auto" w:sz="4" w:space="0"/>
              <w:left w:val="single" w:color="auto" w:sz="4" w:space="0"/>
              <w:bottom w:val="single" w:color="auto" w:sz="4" w:space="0"/>
              <w:right w:val="single" w:color="auto" w:sz="4" w:space="0"/>
            </w:tcBorders>
            <w:vAlign w:val="center"/>
          </w:tcPr>
          <w:p w14:paraId="729A6CCE">
            <w:pPr>
              <w:widowControl/>
              <w:jc w:val="center"/>
              <w:textAlignment w:val="center"/>
              <w:rPr>
                <w:rFonts w:hint="eastAsia" w:asciiTheme="minorEastAsia" w:hAnsiTheme="minorEastAsia" w:eastAsiaTheme="minorEastAsia" w:cstheme="minorEastAsia"/>
                <w:sz w:val="15"/>
                <w:szCs w:val="15"/>
              </w:rPr>
            </w:pPr>
          </w:p>
        </w:tc>
        <w:tc>
          <w:tcPr>
            <w:tcW w:w="866" w:type="pct"/>
            <w:tcBorders>
              <w:top w:val="single" w:color="000000" w:sz="4" w:space="0"/>
              <w:left w:val="single" w:color="auto" w:sz="4" w:space="0"/>
              <w:bottom w:val="single" w:color="000000" w:sz="4" w:space="0"/>
              <w:right w:val="single" w:color="000000" w:sz="4" w:space="0"/>
            </w:tcBorders>
            <w:vAlign w:val="center"/>
          </w:tcPr>
          <w:p w14:paraId="294D15F2">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组织节能技术解决方案供应商和用能单位开展供需对接活动，推广节能新技术和新产品</w:t>
            </w:r>
          </w:p>
        </w:tc>
        <w:tc>
          <w:tcPr>
            <w:tcW w:w="462" w:type="pct"/>
            <w:tcBorders>
              <w:top w:val="single" w:color="000000" w:sz="4" w:space="0"/>
              <w:left w:val="single" w:color="000000" w:sz="4" w:space="0"/>
              <w:bottom w:val="single" w:color="000000" w:sz="4" w:space="0"/>
              <w:right w:val="single" w:color="000000" w:sz="4" w:space="0"/>
            </w:tcBorders>
            <w:vAlign w:val="center"/>
          </w:tcPr>
          <w:p w14:paraId="0D4FA92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000000" w:sz="4" w:space="0"/>
              <w:right w:val="single" w:color="000000" w:sz="4" w:space="0"/>
            </w:tcBorders>
            <w:vAlign w:val="center"/>
          </w:tcPr>
          <w:p w14:paraId="4419E90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310DAEE6">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评价要点：考察节能新技术和新产品推广</w:t>
            </w:r>
          </w:p>
          <w:p w14:paraId="74FB82F8">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000000" w:sz="4" w:space="0"/>
              <w:left w:val="single" w:color="000000" w:sz="4" w:space="0"/>
              <w:bottom w:val="single" w:color="000000" w:sz="4" w:space="0"/>
              <w:right w:val="single" w:color="000000" w:sz="4" w:space="0"/>
            </w:tcBorders>
            <w:vAlign w:val="center"/>
          </w:tcPr>
          <w:p w14:paraId="6FDC66FE">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000000" w:sz="4" w:space="0"/>
              <w:right w:val="single" w:color="auto" w:sz="4" w:space="0"/>
            </w:tcBorders>
            <w:vAlign w:val="center"/>
          </w:tcPr>
          <w:p w14:paraId="756804B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8.00 </w:t>
            </w:r>
          </w:p>
        </w:tc>
        <w:tc>
          <w:tcPr>
            <w:tcW w:w="464" w:type="pct"/>
            <w:tcBorders>
              <w:top w:val="single" w:color="000000" w:sz="4" w:space="0"/>
              <w:left w:val="single" w:color="auto" w:sz="4" w:space="0"/>
              <w:bottom w:val="single" w:color="000000" w:sz="4" w:space="0"/>
              <w:right w:val="single" w:color="000000" w:sz="4" w:space="0"/>
            </w:tcBorders>
            <w:vAlign w:val="center"/>
          </w:tcPr>
          <w:p w14:paraId="32892C8E">
            <w:pPr>
              <w:widowControl/>
              <w:jc w:val="center"/>
              <w:textAlignment w:val="center"/>
              <w:rPr>
                <w:rFonts w:hint="eastAsia" w:asciiTheme="minorEastAsia" w:hAnsiTheme="minorEastAsia" w:eastAsiaTheme="minorEastAsia" w:cstheme="minorEastAsia"/>
                <w:kern w:val="0"/>
                <w:sz w:val="15"/>
                <w:szCs w:val="15"/>
                <w:lang w:bidi="ar"/>
              </w:rPr>
            </w:pPr>
          </w:p>
        </w:tc>
      </w:tr>
      <w:tr w14:paraId="4845D203">
        <w:tblPrEx>
          <w:tblCellMar>
            <w:top w:w="0" w:type="dxa"/>
            <w:left w:w="108" w:type="dxa"/>
            <w:bottom w:w="0" w:type="dxa"/>
            <w:right w:w="108" w:type="dxa"/>
          </w:tblCellMar>
        </w:tblPrEx>
        <w:trPr>
          <w:trHeight w:val="1940" w:hRule="atLeast"/>
        </w:trPr>
        <w:tc>
          <w:tcPr>
            <w:tcW w:w="318" w:type="pct"/>
            <w:vMerge w:val="restart"/>
            <w:tcBorders>
              <w:top w:val="single" w:color="000000" w:sz="4" w:space="0"/>
              <w:left w:val="single" w:color="auto" w:sz="4" w:space="0"/>
              <w:bottom w:val="single" w:color="auto" w:sz="4" w:space="0"/>
              <w:right w:val="single" w:color="000000" w:sz="4" w:space="0"/>
            </w:tcBorders>
            <w:vAlign w:val="center"/>
          </w:tcPr>
          <w:p w14:paraId="4F50A7FE">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效益（14）</w:t>
            </w:r>
          </w:p>
          <w:p w14:paraId="64499975">
            <w:pPr>
              <w:widowControl/>
              <w:jc w:val="center"/>
              <w:textAlignment w:val="center"/>
              <w:rPr>
                <w:rFonts w:hint="eastAsia" w:asciiTheme="minorEastAsia" w:hAnsiTheme="minorEastAsia" w:eastAsiaTheme="minorEastAsia" w:cstheme="minorEastAsia"/>
                <w:sz w:val="15"/>
                <w:szCs w:val="15"/>
              </w:rPr>
            </w:pPr>
          </w:p>
        </w:tc>
        <w:tc>
          <w:tcPr>
            <w:tcW w:w="353" w:type="pct"/>
            <w:tcBorders>
              <w:top w:val="single" w:color="auto" w:sz="4" w:space="0"/>
              <w:left w:val="single" w:color="000000" w:sz="4" w:space="0"/>
              <w:bottom w:val="single" w:color="auto" w:sz="4" w:space="0"/>
              <w:right w:val="single" w:color="000000" w:sz="4" w:space="0"/>
            </w:tcBorders>
            <w:vAlign w:val="center"/>
          </w:tcPr>
          <w:p w14:paraId="769103B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社会效益（6）</w:t>
            </w:r>
          </w:p>
        </w:tc>
        <w:tc>
          <w:tcPr>
            <w:tcW w:w="866" w:type="pct"/>
            <w:tcBorders>
              <w:top w:val="single" w:color="000000" w:sz="4" w:space="0"/>
              <w:left w:val="single" w:color="000000" w:sz="4" w:space="0"/>
              <w:bottom w:val="single" w:color="auto" w:sz="4" w:space="0"/>
              <w:right w:val="single" w:color="000000" w:sz="4" w:space="0"/>
            </w:tcBorders>
            <w:vAlign w:val="center"/>
          </w:tcPr>
          <w:p w14:paraId="3448074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开展节能技术服务，推动企业节能技术改造、实现绿色低碳发展；开展节能宣传、培训与推广，提高用能单位、公民节能意识</w:t>
            </w:r>
          </w:p>
        </w:tc>
        <w:tc>
          <w:tcPr>
            <w:tcW w:w="462" w:type="pct"/>
            <w:tcBorders>
              <w:top w:val="single" w:color="000000" w:sz="4" w:space="0"/>
              <w:left w:val="single" w:color="000000" w:sz="4" w:space="0"/>
              <w:bottom w:val="single" w:color="auto" w:sz="4" w:space="0"/>
              <w:right w:val="single" w:color="000000" w:sz="4" w:space="0"/>
            </w:tcBorders>
            <w:vAlign w:val="center"/>
          </w:tcPr>
          <w:p w14:paraId="4A4CF90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000000" w:sz="4" w:space="0"/>
              <w:left w:val="single" w:color="000000" w:sz="4" w:space="0"/>
              <w:bottom w:val="single" w:color="auto" w:sz="4" w:space="0"/>
              <w:right w:val="single" w:color="000000" w:sz="4" w:space="0"/>
            </w:tcBorders>
            <w:vAlign w:val="center"/>
          </w:tcPr>
          <w:p w14:paraId="05F961A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6.00 </w:t>
            </w:r>
          </w:p>
        </w:tc>
        <w:tc>
          <w:tcPr>
            <w:tcW w:w="1451" w:type="pct"/>
            <w:tcBorders>
              <w:top w:val="single" w:color="000000" w:sz="4" w:space="0"/>
              <w:left w:val="single" w:color="000000" w:sz="4" w:space="0"/>
              <w:bottom w:val="single" w:color="auto" w:sz="4" w:space="0"/>
              <w:right w:val="single" w:color="000000" w:sz="4" w:space="0"/>
            </w:tcBorders>
            <w:vAlign w:val="center"/>
          </w:tcPr>
          <w:p w14:paraId="4B23DF51">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评价要点：考察①节能中心对推动企业节能技术改造、降低企业生产成本的促进作用；②节能中心对用能单位、公民节能意识的加强作用。</w:t>
            </w:r>
          </w:p>
          <w:p w14:paraId="3A3B013D">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评分规则：以上评价要点各占1/2分值，工作完成得权重分，否则不得分。</w:t>
            </w:r>
          </w:p>
        </w:tc>
        <w:tc>
          <w:tcPr>
            <w:tcW w:w="416" w:type="pct"/>
            <w:tcBorders>
              <w:top w:val="single" w:color="000000" w:sz="4" w:space="0"/>
              <w:left w:val="single" w:color="000000" w:sz="4" w:space="0"/>
              <w:bottom w:val="single" w:color="auto" w:sz="4" w:space="0"/>
              <w:right w:val="single" w:color="000000" w:sz="4" w:space="0"/>
            </w:tcBorders>
            <w:vAlign w:val="center"/>
          </w:tcPr>
          <w:p w14:paraId="04AB60B3">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000000" w:sz="4" w:space="0"/>
              <w:left w:val="single" w:color="000000" w:sz="4" w:space="0"/>
              <w:bottom w:val="single" w:color="auto" w:sz="4" w:space="0"/>
              <w:right w:val="single" w:color="auto" w:sz="4" w:space="0"/>
            </w:tcBorders>
            <w:vAlign w:val="center"/>
          </w:tcPr>
          <w:p w14:paraId="3DA956D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6.00 </w:t>
            </w:r>
          </w:p>
        </w:tc>
        <w:tc>
          <w:tcPr>
            <w:tcW w:w="464" w:type="pct"/>
            <w:tcBorders>
              <w:top w:val="single" w:color="000000" w:sz="4" w:space="0"/>
              <w:left w:val="single" w:color="auto" w:sz="4" w:space="0"/>
              <w:bottom w:val="single" w:color="000000" w:sz="4" w:space="0"/>
              <w:right w:val="single" w:color="000000" w:sz="4" w:space="0"/>
            </w:tcBorders>
            <w:vAlign w:val="center"/>
          </w:tcPr>
          <w:p w14:paraId="24756F91">
            <w:pPr>
              <w:widowControl/>
              <w:jc w:val="center"/>
              <w:textAlignment w:val="center"/>
              <w:rPr>
                <w:rFonts w:hint="eastAsia" w:asciiTheme="minorEastAsia" w:hAnsiTheme="minorEastAsia" w:eastAsiaTheme="minorEastAsia" w:cstheme="minorEastAsia"/>
                <w:kern w:val="0"/>
                <w:sz w:val="15"/>
                <w:szCs w:val="15"/>
                <w:lang w:bidi="ar"/>
              </w:rPr>
            </w:pPr>
          </w:p>
        </w:tc>
      </w:tr>
      <w:tr w14:paraId="771EE7CE">
        <w:tblPrEx>
          <w:tblCellMar>
            <w:top w:w="0" w:type="dxa"/>
            <w:left w:w="108" w:type="dxa"/>
            <w:bottom w:w="0" w:type="dxa"/>
            <w:right w:w="108" w:type="dxa"/>
          </w:tblCellMar>
        </w:tblPrEx>
        <w:trPr>
          <w:trHeight w:val="980" w:hRule="atLeast"/>
        </w:trPr>
        <w:tc>
          <w:tcPr>
            <w:tcW w:w="318" w:type="pct"/>
            <w:vMerge w:val="continue"/>
            <w:tcBorders>
              <w:top w:val="single" w:color="auto" w:sz="4" w:space="0"/>
              <w:left w:val="single" w:color="auto" w:sz="4" w:space="0"/>
              <w:right w:val="single" w:color="000000" w:sz="4" w:space="0"/>
            </w:tcBorders>
            <w:vAlign w:val="center"/>
          </w:tcPr>
          <w:p w14:paraId="399689BE">
            <w:pPr>
              <w:jc w:val="center"/>
              <w:rPr>
                <w:rFonts w:hint="eastAsia" w:asciiTheme="minorEastAsia" w:hAnsiTheme="minorEastAsia" w:eastAsiaTheme="minorEastAsia" w:cstheme="minorEastAsia"/>
                <w:sz w:val="15"/>
                <w:szCs w:val="15"/>
              </w:rPr>
            </w:pPr>
          </w:p>
        </w:tc>
        <w:tc>
          <w:tcPr>
            <w:tcW w:w="353" w:type="pct"/>
            <w:tcBorders>
              <w:top w:val="single" w:color="auto" w:sz="4" w:space="0"/>
              <w:left w:val="single" w:color="000000" w:sz="4" w:space="0"/>
              <w:bottom w:val="single" w:color="000000" w:sz="4" w:space="0"/>
              <w:right w:val="single" w:color="000000" w:sz="4" w:space="0"/>
            </w:tcBorders>
            <w:vAlign w:val="center"/>
          </w:tcPr>
          <w:p w14:paraId="5F2F10E4">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生态效益（4）</w:t>
            </w:r>
          </w:p>
        </w:tc>
        <w:tc>
          <w:tcPr>
            <w:tcW w:w="866" w:type="pct"/>
            <w:tcBorders>
              <w:top w:val="single" w:color="auto" w:sz="4" w:space="0"/>
              <w:left w:val="nil"/>
              <w:bottom w:val="single" w:color="000000" w:sz="4" w:space="0"/>
              <w:right w:val="single" w:color="000000" w:sz="4" w:space="0"/>
            </w:tcBorders>
            <w:vAlign w:val="center"/>
          </w:tcPr>
          <w:p w14:paraId="2BA7F6FC">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协助企业创建绿色园区、绿色工厂、绿色供应链</w:t>
            </w:r>
          </w:p>
        </w:tc>
        <w:tc>
          <w:tcPr>
            <w:tcW w:w="462" w:type="pct"/>
            <w:tcBorders>
              <w:top w:val="single" w:color="auto" w:sz="4" w:space="0"/>
              <w:left w:val="single" w:color="000000" w:sz="4" w:space="0"/>
              <w:bottom w:val="single" w:color="000000" w:sz="4" w:space="0"/>
              <w:right w:val="single" w:color="000000" w:sz="4" w:space="0"/>
            </w:tcBorders>
            <w:vAlign w:val="center"/>
          </w:tcPr>
          <w:p w14:paraId="65BAFA8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52" w:type="pct"/>
            <w:tcBorders>
              <w:top w:val="single" w:color="auto" w:sz="4" w:space="0"/>
              <w:left w:val="single" w:color="000000" w:sz="4" w:space="0"/>
              <w:bottom w:val="single" w:color="000000" w:sz="4" w:space="0"/>
              <w:right w:val="single" w:color="000000" w:sz="4" w:space="0"/>
            </w:tcBorders>
            <w:vAlign w:val="center"/>
          </w:tcPr>
          <w:p w14:paraId="512B380F">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4.00 </w:t>
            </w:r>
          </w:p>
        </w:tc>
        <w:tc>
          <w:tcPr>
            <w:tcW w:w="1451" w:type="pct"/>
            <w:tcBorders>
              <w:top w:val="single" w:color="auto" w:sz="4" w:space="0"/>
              <w:left w:val="single" w:color="000000" w:sz="4" w:space="0"/>
              <w:bottom w:val="single" w:color="000000" w:sz="4" w:space="0"/>
              <w:right w:val="single" w:color="000000" w:sz="4" w:space="0"/>
            </w:tcBorders>
            <w:vAlign w:val="center"/>
          </w:tcPr>
          <w:p w14:paraId="021277D0">
            <w:pPr>
              <w:widowControl/>
              <w:jc w:val="left"/>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评价要点：考察节能中心为园区（企业）创建绿色园区、绿色工厂的协助情况。</w:t>
            </w:r>
          </w:p>
          <w:p w14:paraId="198B0A4E">
            <w:pPr>
              <w:widowControl/>
              <w:jc w:val="left"/>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评分规则：工作完成得权重分，否则不得分。</w:t>
            </w:r>
          </w:p>
        </w:tc>
        <w:tc>
          <w:tcPr>
            <w:tcW w:w="416" w:type="pct"/>
            <w:tcBorders>
              <w:top w:val="single" w:color="auto" w:sz="4" w:space="0"/>
              <w:left w:val="single" w:color="000000" w:sz="4" w:space="0"/>
              <w:bottom w:val="single" w:color="000000" w:sz="4" w:space="0"/>
              <w:right w:val="single" w:color="000000" w:sz="4" w:space="0"/>
            </w:tcBorders>
            <w:vAlign w:val="center"/>
          </w:tcPr>
          <w:p w14:paraId="06171E78">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完成</w:t>
            </w:r>
          </w:p>
        </w:tc>
        <w:tc>
          <w:tcPr>
            <w:tcW w:w="316" w:type="pct"/>
            <w:tcBorders>
              <w:top w:val="single" w:color="auto" w:sz="4" w:space="0"/>
              <w:left w:val="single" w:color="000000" w:sz="4" w:space="0"/>
              <w:bottom w:val="single" w:color="000000" w:sz="4" w:space="0"/>
              <w:right w:val="single" w:color="000000" w:sz="4" w:space="0"/>
            </w:tcBorders>
            <w:vAlign w:val="center"/>
          </w:tcPr>
          <w:p w14:paraId="3FF89AB0">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4.00 </w:t>
            </w:r>
          </w:p>
        </w:tc>
        <w:tc>
          <w:tcPr>
            <w:tcW w:w="464" w:type="pct"/>
            <w:tcBorders>
              <w:top w:val="single" w:color="000000" w:sz="4" w:space="0"/>
              <w:left w:val="single" w:color="000000" w:sz="4" w:space="0"/>
              <w:bottom w:val="single" w:color="000000" w:sz="4" w:space="0"/>
              <w:right w:val="single" w:color="000000" w:sz="4" w:space="0"/>
            </w:tcBorders>
            <w:vAlign w:val="center"/>
          </w:tcPr>
          <w:p w14:paraId="3F533B83">
            <w:pPr>
              <w:widowControl/>
              <w:jc w:val="center"/>
              <w:textAlignment w:val="center"/>
              <w:rPr>
                <w:rFonts w:hint="eastAsia" w:asciiTheme="minorEastAsia" w:hAnsiTheme="minorEastAsia" w:eastAsiaTheme="minorEastAsia" w:cstheme="minorEastAsia"/>
                <w:kern w:val="0"/>
                <w:sz w:val="15"/>
                <w:szCs w:val="15"/>
                <w:lang w:bidi="ar"/>
              </w:rPr>
            </w:pPr>
          </w:p>
        </w:tc>
      </w:tr>
      <w:tr w14:paraId="6B8F4375">
        <w:tblPrEx>
          <w:tblCellMar>
            <w:top w:w="0" w:type="dxa"/>
            <w:left w:w="108" w:type="dxa"/>
            <w:bottom w:w="0" w:type="dxa"/>
            <w:right w:w="108" w:type="dxa"/>
          </w:tblCellMar>
        </w:tblPrEx>
        <w:trPr>
          <w:trHeight w:val="740" w:hRule="atLeast"/>
        </w:trPr>
        <w:tc>
          <w:tcPr>
            <w:tcW w:w="318" w:type="pct"/>
            <w:vMerge w:val="continue"/>
            <w:tcBorders>
              <w:left w:val="single" w:color="auto" w:sz="4" w:space="0"/>
              <w:bottom w:val="single" w:color="000000" w:sz="4" w:space="0"/>
              <w:right w:val="single" w:color="000000" w:sz="4" w:space="0"/>
            </w:tcBorders>
            <w:vAlign w:val="center"/>
          </w:tcPr>
          <w:p w14:paraId="77AFB428">
            <w:pPr>
              <w:widowControl/>
              <w:jc w:val="center"/>
              <w:textAlignment w:val="center"/>
              <w:rPr>
                <w:rFonts w:hint="eastAsia" w:asciiTheme="minorEastAsia" w:hAnsiTheme="minorEastAsia" w:eastAsiaTheme="minorEastAsia" w:cstheme="minorEastAsia"/>
                <w:sz w:val="15"/>
                <w:szCs w:val="15"/>
              </w:rPr>
            </w:pPr>
          </w:p>
        </w:tc>
        <w:tc>
          <w:tcPr>
            <w:tcW w:w="353" w:type="pct"/>
            <w:tcBorders>
              <w:top w:val="single" w:color="000000" w:sz="4" w:space="0"/>
              <w:left w:val="single" w:color="000000" w:sz="4" w:space="0"/>
              <w:bottom w:val="single" w:color="000000" w:sz="4" w:space="0"/>
              <w:right w:val="single" w:color="000000" w:sz="4" w:space="0"/>
            </w:tcBorders>
            <w:vAlign w:val="center"/>
          </w:tcPr>
          <w:p w14:paraId="2A9F5925">
            <w:pPr>
              <w:widowControl/>
              <w:jc w:val="center"/>
              <w:textAlignment w:val="center"/>
              <w:rPr>
                <w:rFonts w:hint="eastAsia" w:asciiTheme="minorEastAsia" w:hAnsiTheme="minorEastAsia" w:eastAsiaTheme="minorEastAsia" w:cstheme="minorEastAsia"/>
                <w:sz w:val="15"/>
                <w:szCs w:val="15"/>
              </w:rPr>
            </w:pPr>
            <w:r>
              <w:rPr>
                <w:rFonts w:hint="eastAsia" w:ascii="宋体" w:hAnsi="宋体" w:cs="宋体"/>
                <w:color w:val="000000"/>
                <w:kern w:val="0"/>
                <w:sz w:val="16"/>
                <w:szCs w:val="16"/>
                <w:lang w:bidi="ar"/>
              </w:rPr>
              <w:t>可持续影响（4）</w:t>
            </w:r>
          </w:p>
        </w:tc>
        <w:tc>
          <w:tcPr>
            <w:tcW w:w="866" w:type="pct"/>
            <w:tcBorders>
              <w:top w:val="single" w:color="000000" w:sz="4" w:space="0"/>
              <w:left w:val="single" w:color="000000" w:sz="4" w:space="0"/>
              <w:bottom w:val="single" w:color="000000" w:sz="4" w:space="0"/>
              <w:right w:val="single" w:color="000000" w:sz="4" w:space="0"/>
            </w:tcBorders>
            <w:vAlign w:val="center"/>
          </w:tcPr>
          <w:p w14:paraId="3E2BA899">
            <w:pPr>
              <w:widowControl/>
              <w:jc w:val="left"/>
              <w:textAlignment w:val="center"/>
              <w:rPr>
                <w:rFonts w:hint="eastAsia" w:asciiTheme="minorEastAsia" w:hAnsiTheme="minorEastAsia" w:eastAsiaTheme="minorEastAsia" w:cstheme="minorEastAsia"/>
                <w:sz w:val="15"/>
                <w:szCs w:val="15"/>
              </w:rPr>
            </w:pPr>
            <w:r>
              <w:rPr>
                <w:rFonts w:hint="eastAsia" w:ascii="宋体" w:hAnsi="宋体" w:cs="宋体"/>
                <w:color w:val="000000"/>
                <w:kern w:val="0"/>
                <w:sz w:val="16"/>
                <w:szCs w:val="16"/>
                <w:lang w:bidi="ar"/>
              </w:rPr>
              <w:t>业务能力提升</w:t>
            </w:r>
          </w:p>
        </w:tc>
        <w:tc>
          <w:tcPr>
            <w:tcW w:w="462" w:type="pct"/>
            <w:tcBorders>
              <w:top w:val="single" w:color="000000" w:sz="4" w:space="0"/>
              <w:left w:val="single" w:color="000000" w:sz="4" w:space="0"/>
              <w:bottom w:val="single" w:color="000000" w:sz="4" w:space="0"/>
              <w:right w:val="single" w:color="000000" w:sz="4" w:space="0"/>
            </w:tcBorders>
            <w:vAlign w:val="center"/>
          </w:tcPr>
          <w:p w14:paraId="2BEFCC5A">
            <w:pPr>
              <w:widowControl/>
              <w:jc w:val="center"/>
              <w:textAlignment w:val="center"/>
              <w:rPr>
                <w:rFonts w:hint="eastAsia" w:asciiTheme="minorEastAsia" w:hAnsiTheme="minorEastAsia" w:eastAsiaTheme="minorEastAsia" w:cstheme="minorEastAsia"/>
                <w:sz w:val="15"/>
                <w:szCs w:val="15"/>
              </w:rPr>
            </w:pPr>
            <w:r>
              <w:rPr>
                <w:rFonts w:hint="eastAsia" w:ascii="宋体" w:hAnsi="宋体" w:cs="宋体"/>
                <w:color w:val="000000"/>
                <w:kern w:val="0"/>
                <w:sz w:val="16"/>
                <w:szCs w:val="16"/>
                <w:lang w:bidi="ar"/>
              </w:rPr>
              <w:t>提升</w:t>
            </w:r>
          </w:p>
        </w:tc>
        <w:tc>
          <w:tcPr>
            <w:tcW w:w="352" w:type="pct"/>
            <w:tcBorders>
              <w:top w:val="single" w:color="000000" w:sz="4" w:space="0"/>
              <w:left w:val="single" w:color="000000" w:sz="4" w:space="0"/>
              <w:bottom w:val="single" w:color="000000" w:sz="4" w:space="0"/>
              <w:right w:val="single" w:color="000000" w:sz="4" w:space="0"/>
            </w:tcBorders>
            <w:vAlign w:val="center"/>
          </w:tcPr>
          <w:p w14:paraId="297F5936">
            <w:pPr>
              <w:widowControl/>
              <w:jc w:val="center"/>
              <w:textAlignment w:val="center"/>
              <w:rPr>
                <w:rFonts w:hint="eastAsia" w:asciiTheme="minorEastAsia" w:hAnsiTheme="minorEastAsia" w:eastAsiaTheme="minorEastAsia" w:cstheme="minorEastAsia"/>
                <w:sz w:val="15"/>
                <w:szCs w:val="15"/>
              </w:rPr>
            </w:pPr>
            <w:r>
              <w:rPr>
                <w:rFonts w:hint="eastAsia" w:ascii="宋体" w:hAnsi="宋体" w:cs="宋体"/>
                <w:color w:val="000000"/>
                <w:kern w:val="0"/>
                <w:sz w:val="16"/>
                <w:szCs w:val="16"/>
                <w:lang w:bidi="ar"/>
              </w:rPr>
              <w:t>4.00</w:t>
            </w:r>
            <w:r>
              <w:rPr>
                <w:rFonts w:hint="eastAsia" w:asciiTheme="minorEastAsia" w:hAnsiTheme="minorEastAsia" w:eastAsiaTheme="minorEastAsia" w:cstheme="minorEastAsia"/>
                <w:kern w:val="0"/>
                <w:sz w:val="15"/>
                <w:szCs w:val="15"/>
                <w:lang w:bidi="ar"/>
              </w:rPr>
              <w:t xml:space="preserve"> </w:t>
            </w:r>
          </w:p>
        </w:tc>
        <w:tc>
          <w:tcPr>
            <w:tcW w:w="1451" w:type="pct"/>
            <w:tcBorders>
              <w:top w:val="single" w:color="000000" w:sz="4" w:space="0"/>
              <w:left w:val="single" w:color="000000" w:sz="4" w:space="0"/>
              <w:bottom w:val="single" w:color="000000" w:sz="4" w:space="0"/>
              <w:right w:val="single" w:color="000000" w:sz="4" w:space="0"/>
            </w:tcBorders>
            <w:vAlign w:val="center"/>
          </w:tcPr>
          <w:p w14:paraId="158E2F28">
            <w:pPr>
              <w:widowControl/>
              <w:jc w:val="left"/>
              <w:textAlignment w:val="center"/>
              <w:rPr>
                <w:rFonts w:hint="default" w:eastAsia="宋体" w:asciiTheme="minorEastAsia" w:hAnsiTheme="minorEastAsia" w:cstheme="minorEastAsia"/>
                <w:sz w:val="15"/>
                <w:szCs w:val="15"/>
                <w:highlight w:val="none"/>
                <w:lang w:val="en-US" w:eastAsia="zh-CN"/>
              </w:rPr>
            </w:pPr>
            <w:r>
              <w:rPr>
                <w:rFonts w:hint="eastAsia" w:ascii="宋体" w:hAnsi="宋体" w:cs="宋体"/>
                <w:color w:val="000000"/>
                <w:kern w:val="0"/>
                <w:sz w:val="16"/>
                <w:szCs w:val="16"/>
                <w:highlight w:val="none"/>
                <w:lang w:bidi="ar"/>
              </w:rPr>
              <w:t>考察部门是否着眼未来，制定了并开展了人才培养计划、人才选拔相关激励措施等。</w:t>
            </w:r>
            <w:r>
              <w:rPr>
                <w:rFonts w:hint="eastAsia" w:ascii="宋体" w:hAnsi="宋体" w:cs="宋体"/>
                <w:color w:val="000000"/>
                <w:kern w:val="0"/>
                <w:sz w:val="16"/>
                <w:szCs w:val="16"/>
                <w:highlight w:val="none"/>
                <w:lang w:bidi="ar"/>
              </w:rPr>
              <w:br w:type="textWrapping"/>
            </w:r>
            <w:r>
              <w:rPr>
                <w:rFonts w:hint="eastAsia" w:ascii="宋体" w:hAnsi="宋体" w:cs="宋体"/>
                <w:color w:val="000000"/>
                <w:kern w:val="0"/>
                <w:sz w:val="16"/>
                <w:szCs w:val="16"/>
                <w:highlight w:val="none"/>
                <w:lang w:bidi="ar"/>
              </w:rPr>
              <w:t>评分规则：根据完成情况分为</w:t>
            </w:r>
            <w:r>
              <w:rPr>
                <w:rFonts w:hint="eastAsia" w:ascii="宋体" w:hAnsi="宋体" w:cs="宋体"/>
                <w:color w:val="000000"/>
                <w:kern w:val="0"/>
                <w:sz w:val="16"/>
                <w:szCs w:val="16"/>
                <w:highlight w:val="none"/>
                <w:lang w:val="en-US" w:eastAsia="zh-CN" w:bidi="ar"/>
              </w:rPr>
              <w:t>提升</w:t>
            </w:r>
            <w:r>
              <w:rPr>
                <w:rFonts w:hint="eastAsia" w:ascii="宋体" w:hAnsi="宋体" w:cs="宋体"/>
                <w:color w:val="000000"/>
                <w:kern w:val="0"/>
                <w:sz w:val="16"/>
                <w:szCs w:val="16"/>
                <w:highlight w:val="none"/>
                <w:lang w:bidi="ar"/>
              </w:rPr>
              <w:t>、</w:t>
            </w:r>
            <w:r>
              <w:rPr>
                <w:rFonts w:hint="eastAsia" w:ascii="宋体" w:hAnsi="宋体" w:cs="宋体"/>
                <w:color w:val="000000"/>
                <w:kern w:val="0"/>
                <w:sz w:val="16"/>
                <w:szCs w:val="16"/>
                <w:highlight w:val="none"/>
                <w:lang w:val="en-US" w:eastAsia="zh-CN" w:bidi="ar"/>
              </w:rPr>
              <w:t>基本提升、</w:t>
            </w:r>
            <w:r>
              <w:rPr>
                <w:rFonts w:hint="eastAsia" w:ascii="宋体" w:hAnsi="宋体" w:cs="宋体"/>
                <w:color w:val="000000"/>
                <w:kern w:val="0"/>
                <w:sz w:val="16"/>
                <w:szCs w:val="16"/>
                <w:highlight w:val="none"/>
                <w:lang w:bidi="ar"/>
              </w:rPr>
              <w:t>部分</w:t>
            </w:r>
            <w:r>
              <w:rPr>
                <w:rFonts w:hint="eastAsia" w:ascii="宋体" w:hAnsi="宋体" w:cs="宋体"/>
                <w:color w:val="000000"/>
                <w:kern w:val="0"/>
                <w:sz w:val="16"/>
                <w:szCs w:val="16"/>
                <w:highlight w:val="none"/>
                <w:lang w:val="en-US" w:eastAsia="zh-CN" w:bidi="ar"/>
              </w:rPr>
              <w:t>提升</w:t>
            </w:r>
            <w:r>
              <w:rPr>
                <w:rFonts w:hint="eastAsia" w:ascii="宋体" w:hAnsi="宋体" w:cs="宋体"/>
                <w:color w:val="000000"/>
                <w:kern w:val="0"/>
                <w:sz w:val="16"/>
                <w:szCs w:val="16"/>
                <w:highlight w:val="none"/>
                <w:lang w:bidi="ar"/>
              </w:rPr>
              <w:t>、未</w:t>
            </w:r>
            <w:r>
              <w:rPr>
                <w:rFonts w:hint="eastAsia" w:ascii="宋体" w:hAnsi="宋体" w:cs="宋体"/>
                <w:color w:val="000000"/>
                <w:kern w:val="0"/>
                <w:sz w:val="16"/>
                <w:szCs w:val="16"/>
                <w:highlight w:val="none"/>
                <w:lang w:val="en-US" w:eastAsia="zh-CN" w:bidi="ar"/>
              </w:rPr>
              <w:t>提升四</w:t>
            </w:r>
            <w:r>
              <w:rPr>
                <w:rFonts w:hint="eastAsia" w:ascii="宋体" w:hAnsi="宋体" w:cs="宋体"/>
                <w:color w:val="000000"/>
                <w:kern w:val="0"/>
                <w:sz w:val="16"/>
                <w:szCs w:val="16"/>
                <w:highlight w:val="none"/>
                <w:lang w:bidi="ar"/>
              </w:rPr>
              <w:t>档</w:t>
            </w:r>
            <w:r>
              <w:rPr>
                <w:rFonts w:hint="eastAsia" w:ascii="宋体" w:hAnsi="宋体" w:cs="宋体"/>
                <w:color w:val="000000"/>
                <w:kern w:val="0"/>
                <w:sz w:val="16"/>
                <w:szCs w:val="16"/>
                <w:highlight w:val="none"/>
                <w:lang w:eastAsia="zh-CN" w:bidi="ar"/>
              </w:rPr>
              <w:t>，</w:t>
            </w:r>
            <w:r>
              <w:rPr>
                <w:rFonts w:hint="eastAsia" w:ascii="宋体" w:hAnsi="宋体" w:cs="宋体"/>
                <w:color w:val="000000"/>
                <w:kern w:val="0"/>
                <w:sz w:val="16"/>
                <w:szCs w:val="16"/>
                <w:highlight w:val="none"/>
                <w:lang w:val="en-US" w:eastAsia="zh-CN" w:bidi="ar"/>
              </w:rPr>
              <w:t>分别得4分、2分、1分、0分。</w:t>
            </w:r>
          </w:p>
        </w:tc>
        <w:tc>
          <w:tcPr>
            <w:tcW w:w="416" w:type="pct"/>
            <w:tcBorders>
              <w:top w:val="single" w:color="000000" w:sz="4" w:space="0"/>
              <w:left w:val="single" w:color="000000" w:sz="4" w:space="0"/>
              <w:bottom w:val="single" w:color="000000" w:sz="4" w:space="0"/>
              <w:right w:val="single" w:color="000000" w:sz="4" w:space="0"/>
            </w:tcBorders>
            <w:vAlign w:val="center"/>
          </w:tcPr>
          <w:p w14:paraId="0AB3D066">
            <w:pPr>
              <w:widowControl/>
              <w:jc w:val="center"/>
              <w:textAlignment w:val="center"/>
              <w:rPr>
                <w:rFonts w:hint="default" w:asciiTheme="minorEastAsia" w:hAnsiTheme="minorEastAsia" w:eastAsiaTheme="minorEastAsia" w:cstheme="minorEastAsia"/>
                <w:color w:val="auto"/>
                <w:sz w:val="15"/>
                <w:szCs w:val="15"/>
                <w:highlight w:val="none"/>
                <w:lang w:val="en-US" w:eastAsia="zh-CN"/>
              </w:rPr>
            </w:pPr>
            <w:r>
              <w:rPr>
                <w:rFonts w:hint="eastAsia" w:asciiTheme="minorEastAsia" w:hAnsiTheme="minorEastAsia" w:eastAsiaTheme="minorEastAsia" w:cstheme="minorEastAsia"/>
                <w:color w:val="auto"/>
                <w:sz w:val="15"/>
                <w:szCs w:val="15"/>
                <w:highlight w:val="none"/>
                <w:lang w:val="en-US" w:eastAsia="zh-CN"/>
              </w:rPr>
              <w:t>部分提升</w:t>
            </w:r>
          </w:p>
        </w:tc>
        <w:tc>
          <w:tcPr>
            <w:tcW w:w="316" w:type="pct"/>
            <w:tcBorders>
              <w:top w:val="single" w:color="000000" w:sz="4" w:space="0"/>
              <w:left w:val="single" w:color="000000" w:sz="4" w:space="0"/>
              <w:bottom w:val="single" w:color="000000" w:sz="4" w:space="0"/>
              <w:right w:val="single" w:color="000000" w:sz="4" w:space="0"/>
            </w:tcBorders>
            <w:vAlign w:val="center"/>
          </w:tcPr>
          <w:p w14:paraId="2F4E9BBE">
            <w:pPr>
              <w:widowControl/>
              <w:jc w:val="center"/>
              <w:textAlignment w:val="center"/>
              <w:rPr>
                <w:rFonts w:hint="eastAsia" w:asciiTheme="minorEastAsia" w:hAnsiTheme="minorEastAsia" w:eastAsiaTheme="minorEastAsia" w:cstheme="minorEastAsia"/>
                <w:color w:val="auto"/>
                <w:kern w:val="0"/>
                <w:sz w:val="15"/>
                <w:szCs w:val="15"/>
                <w:lang w:bidi="ar"/>
              </w:rPr>
            </w:pPr>
            <w:r>
              <w:rPr>
                <w:rFonts w:hint="eastAsia" w:asciiTheme="minorEastAsia" w:hAnsiTheme="minorEastAsia" w:eastAsiaTheme="minorEastAsia" w:cstheme="minorEastAsia"/>
                <w:color w:val="auto"/>
                <w:kern w:val="0"/>
                <w:sz w:val="15"/>
                <w:szCs w:val="15"/>
                <w:lang w:val="en-US" w:eastAsia="zh-CN" w:bidi="ar"/>
              </w:rPr>
              <w:t>1</w:t>
            </w:r>
            <w:r>
              <w:rPr>
                <w:rFonts w:hint="eastAsia" w:asciiTheme="minorEastAsia" w:hAnsiTheme="minorEastAsia" w:eastAsiaTheme="minorEastAsia" w:cstheme="minorEastAsia"/>
                <w:color w:val="auto"/>
                <w:kern w:val="0"/>
                <w:sz w:val="15"/>
                <w:szCs w:val="15"/>
                <w:lang w:bidi="ar"/>
              </w:rPr>
              <w:t>.00</w:t>
            </w:r>
          </w:p>
        </w:tc>
        <w:tc>
          <w:tcPr>
            <w:tcW w:w="464" w:type="pct"/>
            <w:tcBorders>
              <w:top w:val="single" w:color="000000" w:sz="4" w:space="0"/>
              <w:left w:val="single" w:color="000000" w:sz="4" w:space="0"/>
              <w:bottom w:val="single" w:color="000000" w:sz="4" w:space="0"/>
              <w:right w:val="single" w:color="000000" w:sz="4" w:space="0"/>
            </w:tcBorders>
            <w:vAlign w:val="center"/>
          </w:tcPr>
          <w:p w14:paraId="75B994D2">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宋体" w:hAnsi="宋体" w:cs="宋体"/>
                <w:color w:val="000000"/>
                <w:kern w:val="0"/>
                <w:sz w:val="16"/>
                <w:szCs w:val="16"/>
                <w:highlight w:val="none"/>
                <w:lang w:val="en-US" w:eastAsia="zh-CN" w:bidi="ar"/>
              </w:rPr>
              <w:t>部分提升</w:t>
            </w:r>
            <w:r>
              <w:rPr>
                <w:rFonts w:hint="eastAsia" w:ascii="宋体" w:hAnsi="宋体" w:cs="宋体"/>
                <w:color w:val="000000"/>
                <w:kern w:val="0"/>
                <w:sz w:val="16"/>
                <w:szCs w:val="16"/>
                <w:highlight w:val="none"/>
                <w:lang w:bidi="ar"/>
              </w:rPr>
              <w:t>，未</w:t>
            </w:r>
            <w:r>
              <w:rPr>
                <w:rFonts w:hint="eastAsia" w:ascii="宋体" w:hAnsi="宋体" w:cs="宋体"/>
                <w:color w:val="000000"/>
                <w:kern w:val="0"/>
                <w:sz w:val="16"/>
                <w:szCs w:val="16"/>
                <w:highlight w:val="none"/>
                <w:lang w:val="en-US" w:eastAsia="zh-CN" w:bidi="ar"/>
              </w:rPr>
              <w:t>制定</w:t>
            </w:r>
            <w:r>
              <w:rPr>
                <w:rFonts w:hint="eastAsia" w:ascii="宋体" w:hAnsi="宋体" w:cs="宋体"/>
                <w:color w:val="000000"/>
                <w:kern w:val="0"/>
                <w:sz w:val="16"/>
                <w:szCs w:val="16"/>
                <w:highlight w:val="none"/>
                <w:lang w:bidi="ar"/>
              </w:rPr>
              <w:t>人才选拔相关激励措施</w:t>
            </w:r>
          </w:p>
        </w:tc>
      </w:tr>
      <w:tr w14:paraId="0EB29CD0">
        <w:tblPrEx>
          <w:tblCellMar>
            <w:top w:w="0" w:type="dxa"/>
            <w:left w:w="108" w:type="dxa"/>
            <w:bottom w:w="0" w:type="dxa"/>
            <w:right w:w="108" w:type="dxa"/>
          </w:tblCellMar>
        </w:tblPrEx>
        <w:trPr>
          <w:trHeight w:val="600" w:hRule="atLeast"/>
        </w:trPr>
        <w:tc>
          <w:tcPr>
            <w:tcW w:w="318" w:type="pct"/>
            <w:tcBorders>
              <w:top w:val="single" w:color="000000" w:sz="4" w:space="0"/>
              <w:left w:val="single" w:color="000000" w:sz="4" w:space="0"/>
              <w:bottom w:val="single" w:color="000000" w:sz="4" w:space="0"/>
              <w:right w:val="single" w:color="000000" w:sz="4" w:space="0"/>
            </w:tcBorders>
            <w:vAlign w:val="center"/>
          </w:tcPr>
          <w:p w14:paraId="721BD36A">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满意度（10）</w:t>
            </w:r>
          </w:p>
        </w:tc>
        <w:tc>
          <w:tcPr>
            <w:tcW w:w="353" w:type="pct"/>
            <w:tcBorders>
              <w:top w:val="single" w:color="000000" w:sz="4" w:space="0"/>
              <w:left w:val="single" w:color="000000" w:sz="4" w:space="0"/>
              <w:bottom w:val="single" w:color="000000" w:sz="4" w:space="0"/>
              <w:right w:val="single" w:color="000000" w:sz="4" w:space="0"/>
            </w:tcBorders>
            <w:vAlign w:val="center"/>
          </w:tcPr>
          <w:p w14:paraId="308A89B6">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服务对象满意度（10）</w:t>
            </w:r>
          </w:p>
        </w:tc>
        <w:tc>
          <w:tcPr>
            <w:tcW w:w="866" w:type="pct"/>
            <w:tcBorders>
              <w:top w:val="single" w:color="000000" w:sz="4" w:space="0"/>
              <w:left w:val="single" w:color="000000" w:sz="4" w:space="0"/>
              <w:bottom w:val="single" w:color="000000" w:sz="4" w:space="0"/>
              <w:right w:val="single" w:color="000000" w:sz="4" w:space="0"/>
            </w:tcBorders>
            <w:vAlign w:val="center"/>
          </w:tcPr>
          <w:p w14:paraId="4DD1DCDD">
            <w:pPr>
              <w:widowControl/>
              <w:jc w:val="left"/>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服务对象满意度</w:t>
            </w:r>
          </w:p>
        </w:tc>
        <w:tc>
          <w:tcPr>
            <w:tcW w:w="462" w:type="pct"/>
            <w:tcBorders>
              <w:top w:val="single" w:color="000000" w:sz="4" w:space="0"/>
              <w:left w:val="single" w:color="000000" w:sz="4" w:space="0"/>
              <w:bottom w:val="single" w:color="000000" w:sz="4" w:space="0"/>
              <w:right w:val="single" w:color="000000" w:sz="4" w:space="0"/>
            </w:tcBorders>
            <w:vAlign w:val="center"/>
          </w:tcPr>
          <w:p w14:paraId="0712EAA6">
            <w:pPr>
              <w:widowControl/>
              <w:jc w:val="center"/>
              <w:textAlignment w:val="center"/>
              <w:rPr>
                <w:rFonts w:hint="eastAsia" w:asciiTheme="minorEastAsia" w:hAnsiTheme="minorEastAsia" w:eastAsiaTheme="minorEastAsia" w:cstheme="minorEastAsia"/>
                <w:b/>
                <w:bCs/>
                <w:kern w:val="0"/>
                <w:sz w:val="15"/>
                <w:szCs w:val="15"/>
                <w:lang w:bidi="ar"/>
              </w:rPr>
            </w:pPr>
            <w:r>
              <w:rPr>
                <w:rFonts w:hint="eastAsia" w:asciiTheme="minorEastAsia" w:hAnsiTheme="minorEastAsia" w:eastAsiaTheme="minorEastAsia" w:cstheme="minorEastAsia"/>
                <w:kern w:val="0"/>
                <w:sz w:val="15"/>
                <w:szCs w:val="15"/>
                <w:lang w:bidi="ar"/>
              </w:rPr>
              <w:t>95%</w:t>
            </w:r>
          </w:p>
        </w:tc>
        <w:tc>
          <w:tcPr>
            <w:tcW w:w="352" w:type="pct"/>
            <w:tcBorders>
              <w:top w:val="single" w:color="000000" w:sz="4" w:space="0"/>
              <w:left w:val="single" w:color="000000" w:sz="4" w:space="0"/>
              <w:bottom w:val="single" w:color="000000" w:sz="4" w:space="0"/>
              <w:right w:val="single" w:color="000000" w:sz="4" w:space="0"/>
            </w:tcBorders>
            <w:vAlign w:val="center"/>
          </w:tcPr>
          <w:p w14:paraId="7BC0860B">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bidi="ar"/>
              </w:rPr>
              <w:t xml:space="preserve">10.00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23E3467D">
            <w:pP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按照满意度调查问卷计算分值，超过95%得满分。低于95%每低于1%扣1分，扣完为止。</w:t>
            </w:r>
          </w:p>
        </w:tc>
        <w:tc>
          <w:tcPr>
            <w:tcW w:w="416" w:type="pct"/>
            <w:tcBorders>
              <w:top w:val="single" w:color="000000" w:sz="4" w:space="0"/>
              <w:left w:val="single" w:color="000000" w:sz="4" w:space="0"/>
              <w:bottom w:val="single" w:color="000000" w:sz="4" w:space="0"/>
              <w:right w:val="single" w:color="000000" w:sz="4" w:space="0"/>
            </w:tcBorders>
            <w:vAlign w:val="center"/>
          </w:tcPr>
          <w:p w14:paraId="6113F1DD">
            <w:pPr>
              <w:jc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sz w:val="15"/>
                <w:szCs w:val="15"/>
              </w:rPr>
              <w:t>9</w:t>
            </w:r>
            <w:r>
              <w:rPr>
                <w:rFonts w:hint="eastAsia" w:asciiTheme="minorEastAsia" w:hAnsiTheme="minorEastAsia" w:eastAsiaTheme="minorEastAsia" w:cstheme="minorEastAsia"/>
                <w:sz w:val="15"/>
                <w:szCs w:val="15"/>
                <w:lang w:val="en-US" w:eastAsia="zh-CN"/>
              </w:rPr>
              <w:t>4</w:t>
            </w:r>
            <w:r>
              <w:rPr>
                <w:rFonts w:hint="eastAsia" w:asciiTheme="minorEastAsia" w:hAnsiTheme="minorEastAsia" w:eastAsiaTheme="minorEastAsia" w:cstheme="minorEastAsia"/>
                <w:sz w:val="15"/>
                <w:szCs w:val="15"/>
              </w:rPr>
              <w:t>.</w:t>
            </w:r>
            <w:r>
              <w:rPr>
                <w:rFonts w:hint="eastAsia" w:asciiTheme="minorEastAsia" w:hAnsiTheme="minorEastAsia" w:eastAsiaTheme="minorEastAsia" w:cstheme="minorEastAsia"/>
                <w:sz w:val="15"/>
                <w:szCs w:val="15"/>
                <w:lang w:val="en-US" w:eastAsia="zh-CN"/>
              </w:rPr>
              <w:t>2</w:t>
            </w:r>
            <w:r>
              <w:rPr>
                <w:rFonts w:hint="eastAsia" w:asciiTheme="minorEastAsia" w:hAnsiTheme="minorEastAsia" w:eastAsiaTheme="minorEastAsia" w:cstheme="minorEastAsia"/>
                <w:sz w:val="15"/>
                <w:szCs w:val="15"/>
              </w:rPr>
              <w:t>0%</w:t>
            </w:r>
          </w:p>
        </w:tc>
        <w:tc>
          <w:tcPr>
            <w:tcW w:w="316" w:type="pct"/>
            <w:tcBorders>
              <w:top w:val="single" w:color="000000" w:sz="4" w:space="0"/>
              <w:left w:val="single" w:color="000000" w:sz="4" w:space="0"/>
              <w:bottom w:val="single" w:color="000000" w:sz="4" w:space="0"/>
              <w:right w:val="single" w:color="000000" w:sz="4" w:space="0"/>
            </w:tcBorders>
            <w:vAlign w:val="center"/>
          </w:tcPr>
          <w:p w14:paraId="55329DED">
            <w:pPr>
              <w:widowControl/>
              <w:jc w:val="center"/>
              <w:textAlignment w:val="center"/>
              <w:rPr>
                <w:rFonts w:hint="eastAsia" w:asciiTheme="minorEastAsia" w:hAnsiTheme="minorEastAsia" w:eastAsiaTheme="minorEastAsia" w:cstheme="minorEastAsia"/>
                <w:kern w:val="0"/>
                <w:sz w:val="15"/>
                <w:szCs w:val="15"/>
                <w:lang w:bidi="ar"/>
              </w:rPr>
            </w:pPr>
            <w:r>
              <w:rPr>
                <w:rFonts w:hint="eastAsia" w:asciiTheme="minorEastAsia" w:hAnsiTheme="minorEastAsia" w:eastAsiaTheme="minorEastAsia" w:cstheme="minorEastAsia"/>
                <w:kern w:val="0"/>
                <w:sz w:val="15"/>
                <w:szCs w:val="15"/>
                <w:lang w:val="en-US" w:eastAsia="zh-CN" w:bidi="ar"/>
              </w:rPr>
              <w:t>9</w:t>
            </w:r>
            <w:r>
              <w:rPr>
                <w:rFonts w:hint="eastAsia" w:asciiTheme="minorEastAsia" w:hAnsiTheme="minorEastAsia" w:eastAsiaTheme="minorEastAsia" w:cstheme="minorEastAsia"/>
                <w:kern w:val="0"/>
                <w:sz w:val="15"/>
                <w:szCs w:val="15"/>
                <w:lang w:bidi="ar"/>
              </w:rPr>
              <w:t>.</w:t>
            </w:r>
            <w:r>
              <w:rPr>
                <w:rFonts w:hint="eastAsia" w:asciiTheme="minorEastAsia" w:hAnsiTheme="minorEastAsia" w:eastAsiaTheme="minorEastAsia" w:cstheme="minorEastAsia"/>
                <w:kern w:val="0"/>
                <w:sz w:val="15"/>
                <w:szCs w:val="15"/>
                <w:lang w:val="en-US" w:eastAsia="zh-CN" w:bidi="ar"/>
              </w:rPr>
              <w:t>2</w:t>
            </w:r>
            <w:r>
              <w:rPr>
                <w:rFonts w:hint="eastAsia" w:asciiTheme="minorEastAsia" w:hAnsiTheme="minorEastAsia" w:eastAsiaTheme="minorEastAsia" w:cstheme="minorEastAsia"/>
                <w:kern w:val="0"/>
                <w:sz w:val="15"/>
                <w:szCs w:val="15"/>
                <w:lang w:bidi="ar"/>
              </w:rPr>
              <w:t>0</w:t>
            </w:r>
          </w:p>
        </w:tc>
        <w:tc>
          <w:tcPr>
            <w:tcW w:w="464" w:type="pct"/>
            <w:tcBorders>
              <w:top w:val="single" w:color="000000" w:sz="4" w:space="0"/>
              <w:left w:val="single" w:color="000000" w:sz="4" w:space="0"/>
              <w:bottom w:val="single" w:color="000000" w:sz="4" w:space="0"/>
              <w:right w:val="single" w:color="000000" w:sz="4" w:space="0"/>
            </w:tcBorders>
            <w:vAlign w:val="center"/>
          </w:tcPr>
          <w:p w14:paraId="11E1637E">
            <w:pPr>
              <w:widowControl/>
              <w:jc w:val="center"/>
              <w:textAlignment w:val="center"/>
              <w:rPr>
                <w:rFonts w:hint="eastAsia" w:asciiTheme="minorEastAsia" w:hAnsiTheme="minorEastAsia" w:eastAsiaTheme="minorEastAsia" w:cstheme="minorEastAsia"/>
                <w:kern w:val="0"/>
                <w:sz w:val="15"/>
                <w:szCs w:val="15"/>
                <w:lang w:bidi="ar"/>
              </w:rPr>
            </w:pPr>
          </w:p>
        </w:tc>
      </w:tr>
      <w:tr w14:paraId="61A76566">
        <w:tblPrEx>
          <w:tblCellMar>
            <w:top w:w="0" w:type="dxa"/>
            <w:left w:w="108" w:type="dxa"/>
            <w:bottom w:w="0" w:type="dxa"/>
            <w:right w:w="108" w:type="dxa"/>
          </w:tblCellMar>
        </w:tblPrEx>
        <w:trPr>
          <w:trHeight w:val="600" w:hRule="atLeast"/>
        </w:trPr>
        <w:tc>
          <w:tcPr>
            <w:tcW w:w="2000" w:type="pct"/>
            <w:gridSpan w:val="4"/>
            <w:tcBorders>
              <w:top w:val="single" w:color="000000" w:sz="4" w:space="0"/>
              <w:left w:val="single" w:color="000000" w:sz="4" w:space="0"/>
              <w:bottom w:val="single" w:color="000000" w:sz="4" w:space="0"/>
              <w:right w:val="single" w:color="000000" w:sz="4" w:space="0"/>
            </w:tcBorders>
            <w:vAlign w:val="center"/>
          </w:tcPr>
          <w:p w14:paraId="75368857">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合计</w:t>
            </w:r>
          </w:p>
        </w:tc>
        <w:tc>
          <w:tcPr>
            <w:tcW w:w="352" w:type="pct"/>
            <w:tcBorders>
              <w:top w:val="single" w:color="000000" w:sz="4" w:space="0"/>
              <w:left w:val="single" w:color="000000" w:sz="4" w:space="0"/>
              <w:bottom w:val="single" w:color="000000" w:sz="4" w:space="0"/>
              <w:right w:val="single" w:color="000000" w:sz="4" w:space="0"/>
            </w:tcBorders>
            <w:vAlign w:val="center"/>
          </w:tcPr>
          <w:p w14:paraId="481954F6">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 xml:space="preserve">100.00 </w:t>
            </w:r>
          </w:p>
        </w:tc>
        <w:tc>
          <w:tcPr>
            <w:tcW w:w="1451" w:type="pct"/>
            <w:tcBorders>
              <w:top w:val="single" w:color="000000" w:sz="4" w:space="0"/>
              <w:left w:val="single" w:color="000000" w:sz="4" w:space="0"/>
              <w:bottom w:val="single" w:color="000000" w:sz="4" w:space="0"/>
              <w:right w:val="single" w:color="000000" w:sz="4" w:space="0"/>
            </w:tcBorders>
            <w:vAlign w:val="center"/>
          </w:tcPr>
          <w:p w14:paraId="0EDD35D1">
            <w:pPr>
              <w:rPr>
                <w:rFonts w:hint="eastAsia" w:asciiTheme="minorEastAsia" w:hAnsiTheme="minorEastAsia" w:eastAsiaTheme="minorEastAsia" w:cstheme="minorEastAsia"/>
                <w:sz w:val="15"/>
                <w:szCs w:val="15"/>
              </w:rPr>
            </w:pPr>
          </w:p>
        </w:tc>
        <w:tc>
          <w:tcPr>
            <w:tcW w:w="416" w:type="pct"/>
            <w:tcBorders>
              <w:top w:val="single" w:color="000000" w:sz="4" w:space="0"/>
              <w:left w:val="single" w:color="000000" w:sz="4" w:space="0"/>
              <w:bottom w:val="single" w:color="000000" w:sz="4" w:space="0"/>
              <w:right w:val="single" w:color="000000" w:sz="4" w:space="0"/>
            </w:tcBorders>
            <w:vAlign w:val="center"/>
          </w:tcPr>
          <w:p w14:paraId="57663B3C">
            <w:pPr>
              <w:jc w:val="center"/>
              <w:rPr>
                <w:rFonts w:hint="eastAsia" w:asciiTheme="minorEastAsia" w:hAnsiTheme="minorEastAsia" w:eastAsiaTheme="minorEastAsia" w:cstheme="minorEastAsia"/>
                <w:sz w:val="15"/>
                <w:szCs w:val="15"/>
              </w:rPr>
            </w:pPr>
          </w:p>
        </w:tc>
        <w:tc>
          <w:tcPr>
            <w:tcW w:w="316" w:type="pct"/>
            <w:tcBorders>
              <w:top w:val="single" w:color="000000" w:sz="4" w:space="0"/>
              <w:left w:val="single" w:color="000000" w:sz="4" w:space="0"/>
              <w:bottom w:val="single" w:color="000000" w:sz="4" w:space="0"/>
              <w:right w:val="single" w:color="000000" w:sz="4" w:space="0"/>
            </w:tcBorders>
            <w:vAlign w:val="center"/>
          </w:tcPr>
          <w:p w14:paraId="07FB625D">
            <w:pPr>
              <w:widowControl/>
              <w:jc w:val="center"/>
              <w:textAlignment w:val="center"/>
              <w:rPr>
                <w:rFonts w:hint="eastAsia" w:asciiTheme="minorEastAsia" w:hAnsiTheme="minorEastAsia" w:eastAsiaTheme="minorEastAsia" w:cstheme="minorEastAsia"/>
                <w:sz w:val="15"/>
                <w:szCs w:val="15"/>
              </w:rPr>
            </w:pPr>
            <w:r>
              <w:rPr>
                <w:rFonts w:hint="eastAsia" w:asciiTheme="minorEastAsia" w:hAnsiTheme="minorEastAsia" w:eastAsiaTheme="minorEastAsia" w:cstheme="minorEastAsia"/>
                <w:kern w:val="0"/>
                <w:sz w:val="15"/>
                <w:szCs w:val="15"/>
                <w:lang w:bidi="ar"/>
              </w:rPr>
              <w:t>92.</w:t>
            </w:r>
            <w:r>
              <w:rPr>
                <w:rFonts w:hint="eastAsia" w:asciiTheme="minorEastAsia" w:hAnsiTheme="minorEastAsia" w:eastAsiaTheme="minorEastAsia" w:cstheme="minorEastAsia"/>
                <w:kern w:val="0"/>
                <w:sz w:val="15"/>
                <w:szCs w:val="15"/>
                <w:lang w:val="en-US" w:eastAsia="zh-CN" w:bidi="ar"/>
              </w:rPr>
              <w:t>8</w:t>
            </w:r>
            <w:r>
              <w:rPr>
                <w:rFonts w:hint="eastAsia" w:asciiTheme="minorEastAsia" w:hAnsiTheme="minorEastAsia" w:eastAsiaTheme="minorEastAsia" w:cstheme="minorEastAsia"/>
                <w:kern w:val="0"/>
                <w:sz w:val="15"/>
                <w:szCs w:val="15"/>
                <w:lang w:bidi="ar"/>
              </w:rPr>
              <w:t xml:space="preserve">5 </w:t>
            </w:r>
          </w:p>
        </w:tc>
        <w:tc>
          <w:tcPr>
            <w:tcW w:w="464" w:type="pct"/>
            <w:tcBorders>
              <w:top w:val="single" w:color="000000" w:sz="4" w:space="0"/>
              <w:left w:val="single" w:color="000000" w:sz="4" w:space="0"/>
              <w:bottom w:val="single" w:color="000000" w:sz="4" w:space="0"/>
              <w:right w:val="single" w:color="000000" w:sz="4" w:space="0"/>
            </w:tcBorders>
            <w:vAlign w:val="center"/>
          </w:tcPr>
          <w:p w14:paraId="51F93D09">
            <w:pPr>
              <w:widowControl/>
              <w:jc w:val="center"/>
              <w:textAlignment w:val="center"/>
              <w:rPr>
                <w:rFonts w:hint="eastAsia" w:asciiTheme="minorEastAsia" w:hAnsiTheme="minorEastAsia" w:eastAsiaTheme="minorEastAsia" w:cstheme="minorEastAsia"/>
                <w:kern w:val="0"/>
                <w:sz w:val="15"/>
                <w:szCs w:val="15"/>
                <w:lang w:bidi="ar"/>
              </w:rPr>
            </w:pPr>
          </w:p>
        </w:tc>
      </w:tr>
    </w:tbl>
    <w:p w14:paraId="6DE9DFCE">
      <w:pPr>
        <w:pStyle w:val="3"/>
        <w:spacing w:line="560" w:lineRule="exact"/>
        <w:ind w:firstLine="0" w:firstLineChars="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附件：《2024年度南京市节能技术服务中心部门整体绩效自评价表》</w:t>
      </w:r>
    </w:p>
    <w:sectPr>
      <w:pgSz w:w="16838" w:h="11906"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C7C8F76-0088-4553-A36A-D5A3B0273DE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2" w:fontKey="{44DB51C2-4288-4A3E-9CD7-A5FCFBD68C4B}"/>
  </w:font>
  <w:font w:name="方正小标宋简体">
    <w:panose1 w:val="03000509000000000000"/>
    <w:charset w:val="86"/>
    <w:family w:val="script"/>
    <w:pitch w:val="default"/>
    <w:sig w:usb0="00000001" w:usb1="080E0000" w:usb2="00000000" w:usb3="00000000" w:csb0="00040000" w:csb1="00000000"/>
    <w:embedRegular r:id="rId3" w:fontKey="{33D8003A-E30A-4E84-8727-F2902A376FEF}"/>
  </w:font>
  <w:font w:name="楷体_GB2312">
    <w:panose1 w:val="02010609030101010101"/>
    <w:charset w:val="86"/>
    <w:family w:val="modern"/>
    <w:pitch w:val="default"/>
    <w:sig w:usb0="00000001" w:usb1="080E0000" w:usb2="00000000" w:usb3="00000000" w:csb0="00040000" w:csb1="00000000"/>
    <w:embedRegular r:id="rId4" w:fontKey="{B201F31A-C1C8-4CAD-934A-0BFD4E398A26}"/>
  </w:font>
  <w:font w:name="仿宋_GB2312">
    <w:panose1 w:val="02010609030101010101"/>
    <w:charset w:val="86"/>
    <w:family w:val="modern"/>
    <w:pitch w:val="default"/>
    <w:sig w:usb0="00000001" w:usb1="080E0000" w:usb2="00000000" w:usb3="00000000" w:csb0="00040000" w:csb1="00000000"/>
    <w:embedRegular r:id="rId5" w:fontKey="{F2005ED8-FD73-4F46-BF53-33FE9E471A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257F2">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9BE2">
    <w:pPr>
      <w:pStyle w:val="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D179">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143E4">
                          <w:pPr>
                            <w:pStyle w:val="8"/>
                            <w:jc w:val="center"/>
                          </w:pPr>
                          <w:r>
                            <w:fldChar w:fldCharType="begin"/>
                          </w:r>
                          <w:r>
                            <w:instrText xml:space="preserve">PAGE   \* MERGEFORMAT</w:instrText>
                          </w:r>
                          <w:r>
                            <w:fldChar w:fldCharType="separate"/>
                          </w:r>
                          <w:r>
                            <w:rPr>
                              <w:lang w:val="zh-CN"/>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09143E4">
                    <w:pPr>
                      <w:pStyle w:val="8"/>
                      <w:jc w:val="center"/>
                    </w:pPr>
                    <w:r>
                      <w:fldChar w:fldCharType="begin"/>
                    </w:r>
                    <w:r>
                      <w:instrText xml:space="preserve">PAGE   \* MERGEFORMAT</w:instrText>
                    </w:r>
                    <w:r>
                      <w:fldChar w:fldCharType="separate"/>
                    </w:r>
                    <w:r>
                      <w:rPr>
                        <w:lang w:val="zh-CN"/>
                      </w:rP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5MGQ3NDExMTAyZmFhMjY2OTZkODQ0ZmM2OGY4YWMifQ=="/>
  </w:docVars>
  <w:rsids>
    <w:rsidRoot w:val="00C10A25"/>
    <w:rsid w:val="00047C6B"/>
    <w:rsid w:val="000742FA"/>
    <w:rsid w:val="00132A85"/>
    <w:rsid w:val="00176BEF"/>
    <w:rsid w:val="00281765"/>
    <w:rsid w:val="002E5505"/>
    <w:rsid w:val="0032002F"/>
    <w:rsid w:val="003212FC"/>
    <w:rsid w:val="003507F1"/>
    <w:rsid w:val="00382B49"/>
    <w:rsid w:val="0045602A"/>
    <w:rsid w:val="00462B16"/>
    <w:rsid w:val="00550A78"/>
    <w:rsid w:val="005C4980"/>
    <w:rsid w:val="006032B2"/>
    <w:rsid w:val="00720C39"/>
    <w:rsid w:val="007910F7"/>
    <w:rsid w:val="00810D29"/>
    <w:rsid w:val="0086185E"/>
    <w:rsid w:val="008A7E46"/>
    <w:rsid w:val="008D5B2A"/>
    <w:rsid w:val="009251CC"/>
    <w:rsid w:val="00A034F2"/>
    <w:rsid w:val="00A04993"/>
    <w:rsid w:val="00A8449D"/>
    <w:rsid w:val="00A87475"/>
    <w:rsid w:val="00AF322A"/>
    <w:rsid w:val="00B23D28"/>
    <w:rsid w:val="00B81970"/>
    <w:rsid w:val="00B8315B"/>
    <w:rsid w:val="00BE65F2"/>
    <w:rsid w:val="00C10A25"/>
    <w:rsid w:val="00D57C01"/>
    <w:rsid w:val="00E153CB"/>
    <w:rsid w:val="00E35B99"/>
    <w:rsid w:val="00E55E5B"/>
    <w:rsid w:val="00F73F35"/>
    <w:rsid w:val="00FD3869"/>
    <w:rsid w:val="00FD580D"/>
    <w:rsid w:val="00FF716C"/>
    <w:rsid w:val="01E525D8"/>
    <w:rsid w:val="023C675D"/>
    <w:rsid w:val="02EA0D2F"/>
    <w:rsid w:val="033328BA"/>
    <w:rsid w:val="03920A67"/>
    <w:rsid w:val="03E25FA2"/>
    <w:rsid w:val="051530C4"/>
    <w:rsid w:val="054A784B"/>
    <w:rsid w:val="05D07BB4"/>
    <w:rsid w:val="07025861"/>
    <w:rsid w:val="08121FDF"/>
    <w:rsid w:val="083E62D3"/>
    <w:rsid w:val="08C6478B"/>
    <w:rsid w:val="0A193000"/>
    <w:rsid w:val="0B554854"/>
    <w:rsid w:val="0CDB522D"/>
    <w:rsid w:val="0DD35CEA"/>
    <w:rsid w:val="0DDF1A07"/>
    <w:rsid w:val="0ECA5559"/>
    <w:rsid w:val="0ED62150"/>
    <w:rsid w:val="0F931DEF"/>
    <w:rsid w:val="0FDB0540"/>
    <w:rsid w:val="10060813"/>
    <w:rsid w:val="105E4BC5"/>
    <w:rsid w:val="10B310F1"/>
    <w:rsid w:val="10DE709A"/>
    <w:rsid w:val="11736708"/>
    <w:rsid w:val="122E43DD"/>
    <w:rsid w:val="126B080F"/>
    <w:rsid w:val="12900868"/>
    <w:rsid w:val="131108E5"/>
    <w:rsid w:val="13135720"/>
    <w:rsid w:val="13C22CA3"/>
    <w:rsid w:val="13D15A15"/>
    <w:rsid w:val="13FA68E0"/>
    <w:rsid w:val="1409694B"/>
    <w:rsid w:val="14FB74F2"/>
    <w:rsid w:val="15026D28"/>
    <w:rsid w:val="15076514"/>
    <w:rsid w:val="150D14C3"/>
    <w:rsid w:val="15BA6327"/>
    <w:rsid w:val="165247B2"/>
    <w:rsid w:val="16BA2357"/>
    <w:rsid w:val="16BF34C9"/>
    <w:rsid w:val="171617FB"/>
    <w:rsid w:val="17A41D79"/>
    <w:rsid w:val="1844637C"/>
    <w:rsid w:val="18493992"/>
    <w:rsid w:val="18C706A3"/>
    <w:rsid w:val="18F2756D"/>
    <w:rsid w:val="19562CC2"/>
    <w:rsid w:val="197877B0"/>
    <w:rsid w:val="1A0E3408"/>
    <w:rsid w:val="1ABD2416"/>
    <w:rsid w:val="1AEF3E96"/>
    <w:rsid w:val="1AF31FD2"/>
    <w:rsid w:val="1B630EA1"/>
    <w:rsid w:val="1BE7599C"/>
    <w:rsid w:val="1C297CEA"/>
    <w:rsid w:val="1C7F7D0F"/>
    <w:rsid w:val="1D976F4E"/>
    <w:rsid w:val="1E8431CA"/>
    <w:rsid w:val="1F66677B"/>
    <w:rsid w:val="1FEF4E1F"/>
    <w:rsid w:val="20570DB0"/>
    <w:rsid w:val="214B7F29"/>
    <w:rsid w:val="215A496E"/>
    <w:rsid w:val="216D6944"/>
    <w:rsid w:val="219130A7"/>
    <w:rsid w:val="22155E80"/>
    <w:rsid w:val="226E1F61"/>
    <w:rsid w:val="2348269A"/>
    <w:rsid w:val="23DF33FD"/>
    <w:rsid w:val="24552A57"/>
    <w:rsid w:val="24917051"/>
    <w:rsid w:val="249B71F2"/>
    <w:rsid w:val="24A64188"/>
    <w:rsid w:val="25050C41"/>
    <w:rsid w:val="254C2E07"/>
    <w:rsid w:val="25964749"/>
    <w:rsid w:val="265623A5"/>
    <w:rsid w:val="26BE1A0F"/>
    <w:rsid w:val="27235079"/>
    <w:rsid w:val="277B57D3"/>
    <w:rsid w:val="27A85B4F"/>
    <w:rsid w:val="27AD46DA"/>
    <w:rsid w:val="27B00FDA"/>
    <w:rsid w:val="27D522EC"/>
    <w:rsid w:val="27E76794"/>
    <w:rsid w:val="2997108E"/>
    <w:rsid w:val="2AD964A9"/>
    <w:rsid w:val="2ADC0696"/>
    <w:rsid w:val="2B560448"/>
    <w:rsid w:val="2B7A1817"/>
    <w:rsid w:val="2B9575E3"/>
    <w:rsid w:val="2B993882"/>
    <w:rsid w:val="2BB313F7"/>
    <w:rsid w:val="2BFF288E"/>
    <w:rsid w:val="2CC052A4"/>
    <w:rsid w:val="2CDA6E57"/>
    <w:rsid w:val="2CFD5D8B"/>
    <w:rsid w:val="2DC87ABB"/>
    <w:rsid w:val="2E666BF4"/>
    <w:rsid w:val="2E726F3D"/>
    <w:rsid w:val="2E7C1194"/>
    <w:rsid w:val="2EB86BC2"/>
    <w:rsid w:val="2EF61657"/>
    <w:rsid w:val="2FD14541"/>
    <w:rsid w:val="2FD70E5E"/>
    <w:rsid w:val="302503E9"/>
    <w:rsid w:val="304C57B8"/>
    <w:rsid w:val="3112096E"/>
    <w:rsid w:val="312132A7"/>
    <w:rsid w:val="317F14A3"/>
    <w:rsid w:val="33C767A4"/>
    <w:rsid w:val="345861E9"/>
    <w:rsid w:val="34931C5F"/>
    <w:rsid w:val="353A2083"/>
    <w:rsid w:val="354B08F2"/>
    <w:rsid w:val="35FF348B"/>
    <w:rsid w:val="36D75896"/>
    <w:rsid w:val="37227431"/>
    <w:rsid w:val="37607CF2"/>
    <w:rsid w:val="37E47522"/>
    <w:rsid w:val="383E4627"/>
    <w:rsid w:val="387E4B3B"/>
    <w:rsid w:val="3894610C"/>
    <w:rsid w:val="3962620A"/>
    <w:rsid w:val="39A520CD"/>
    <w:rsid w:val="39F41723"/>
    <w:rsid w:val="39FF1CAB"/>
    <w:rsid w:val="3A4A60EA"/>
    <w:rsid w:val="3C0E16D7"/>
    <w:rsid w:val="3D536FB0"/>
    <w:rsid w:val="3EF618CF"/>
    <w:rsid w:val="3F306B7A"/>
    <w:rsid w:val="3FC419CD"/>
    <w:rsid w:val="40384A7B"/>
    <w:rsid w:val="405C1C05"/>
    <w:rsid w:val="40664FD3"/>
    <w:rsid w:val="415B0978"/>
    <w:rsid w:val="41913B31"/>
    <w:rsid w:val="42097B6B"/>
    <w:rsid w:val="4282598A"/>
    <w:rsid w:val="43893F95"/>
    <w:rsid w:val="43E319F7"/>
    <w:rsid w:val="441822E7"/>
    <w:rsid w:val="443133A9"/>
    <w:rsid w:val="458E5293"/>
    <w:rsid w:val="45C85647"/>
    <w:rsid w:val="46726C2A"/>
    <w:rsid w:val="46B02CAB"/>
    <w:rsid w:val="46CA6839"/>
    <w:rsid w:val="46F45F7E"/>
    <w:rsid w:val="47887784"/>
    <w:rsid w:val="48462ADD"/>
    <w:rsid w:val="490F55FF"/>
    <w:rsid w:val="496F0BFB"/>
    <w:rsid w:val="4AA76173"/>
    <w:rsid w:val="4AE63F54"/>
    <w:rsid w:val="4B143967"/>
    <w:rsid w:val="4B6127C6"/>
    <w:rsid w:val="4BBF4312"/>
    <w:rsid w:val="4C2634A9"/>
    <w:rsid w:val="4C8E6DAA"/>
    <w:rsid w:val="4CC95811"/>
    <w:rsid w:val="4CCE7A6C"/>
    <w:rsid w:val="4CE3146F"/>
    <w:rsid w:val="4D27359B"/>
    <w:rsid w:val="4E422D06"/>
    <w:rsid w:val="4E6D1482"/>
    <w:rsid w:val="4E9B203E"/>
    <w:rsid w:val="4ECA73AE"/>
    <w:rsid w:val="4F746C04"/>
    <w:rsid w:val="501778F7"/>
    <w:rsid w:val="501E0C85"/>
    <w:rsid w:val="503C2494"/>
    <w:rsid w:val="519A07DF"/>
    <w:rsid w:val="5212481A"/>
    <w:rsid w:val="52171E30"/>
    <w:rsid w:val="52861A4A"/>
    <w:rsid w:val="52B4142D"/>
    <w:rsid w:val="52E066C6"/>
    <w:rsid w:val="52FA74FD"/>
    <w:rsid w:val="53986C80"/>
    <w:rsid w:val="54435882"/>
    <w:rsid w:val="546D425D"/>
    <w:rsid w:val="54B343CA"/>
    <w:rsid w:val="54F50220"/>
    <w:rsid w:val="55DB23A7"/>
    <w:rsid w:val="55E77350"/>
    <w:rsid w:val="56644777"/>
    <w:rsid w:val="568F0C01"/>
    <w:rsid w:val="57961F02"/>
    <w:rsid w:val="58156E12"/>
    <w:rsid w:val="589164A9"/>
    <w:rsid w:val="58977920"/>
    <w:rsid w:val="58DE5456"/>
    <w:rsid w:val="5AF35146"/>
    <w:rsid w:val="5CCB5CF1"/>
    <w:rsid w:val="5CD56B70"/>
    <w:rsid w:val="5D0402CF"/>
    <w:rsid w:val="5DD56AD1"/>
    <w:rsid w:val="5DFD637E"/>
    <w:rsid w:val="5E113BD7"/>
    <w:rsid w:val="5E5D506F"/>
    <w:rsid w:val="603A39DA"/>
    <w:rsid w:val="60597AB8"/>
    <w:rsid w:val="6064568D"/>
    <w:rsid w:val="60C05091"/>
    <w:rsid w:val="620F5C64"/>
    <w:rsid w:val="62485F9F"/>
    <w:rsid w:val="627078A9"/>
    <w:rsid w:val="62E27F0F"/>
    <w:rsid w:val="62F835B8"/>
    <w:rsid w:val="6341771A"/>
    <w:rsid w:val="634D34D4"/>
    <w:rsid w:val="637E0D16"/>
    <w:rsid w:val="64550596"/>
    <w:rsid w:val="65C92FEA"/>
    <w:rsid w:val="666920D7"/>
    <w:rsid w:val="67094BCE"/>
    <w:rsid w:val="672E57FA"/>
    <w:rsid w:val="67FA392E"/>
    <w:rsid w:val="681744E0"/>
    <w:rsid w:val="68D26659"/>
    <w:rsid w:val="6AA61B8A"/>
    <w:rsid w:val="6D535415"/>
    <w:rsid w:val="6D6830E8"/>
    <w:rsid w:val="6DC5641D"/>
    <w:rsid w:val="6EB44413"/>
    <w:rsid w:val="6F125A01"/>
    <w:rsid w:val="70257130"/>
    <w:rsid w:val="70E52CC5"/>
    <w:rsid w:val="71633B4A"/>
    <w:rsid w:val="71995F66"/>
    <w:rsid w:val="71D13CDB"/>
    <w:rsid w:val="72B648F6"/>
    <w:rsid w:val="745368A0"/>
    <w:rsid w:val="746032C0"/>
    <w:rsid w:val="74C23D1D"/>
    <w:rsid w:val="74C859A1"/>
    <w:rsid w:val="7501454E"/>
    <w:rsid w:val="76FC1FA3"/>
    <w:rsid w:val="76FC7D28"/>
    <w:rsid w:val="774668B3"/>
    <w:rsid w:val="781D7C27"/>
    <w:rsid w:val="78306290"/>
    <w:rsid w:val="78992CEF"/>
    <w:rsid w:val="78A84CE1"/>
    <w:rsid w:val="79AC25AE"/>
    <w:rsid w:val="79FE7916"/>
    <w:rsid w:val="7B284539"/>
    <w:rsid w:val="7D6E474B"/>
    <w:rsid w:val="7EB62488"/>
    <w:rsid w:val="7EF27AD6"/>
    <w:rsid w:val="7F2350C1"/>
    <w:rsid w:val="7F2A28F3"/>
    <w:rsid w:val="7F496ADD"/>
    <w:rsid w:val="7F7B314F"/>
    <w:rsid w:val="7F957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style>
  <w:style w:type="paragraph" w:styleId="4">
    <w:name w:val="annotation text"/>
    <w:basedOn w:val="1"/>
    <w:link w:val="33"/>
    <w:qFormat/>
    <w:uiPriority w:val="0"/>
    <w:pPr>
      <w:jc w:val="left"/>
    </w:pPr>
  </w:style>
  <w:style w:type="paragraph" w:styleId="5">
    <w:name w:val="Body Text"/>
    <w:basedOn w:val="1"/>
    <w:next w:val="1"/>
    <w:link w:val="31"/>
    <w:qFormat/>
    <w:uiPriority w:val="99"/>
    <w:pPr>
      <w:spacing w:after="120"/>
    </w:pPr>
  </w:style>
  <w:style w:type="paragraph" w:styleId="6">
    <w:name w:val="Body Text Indent"/>
    <w:basedOn w:val="1"/>
    <w:qFormat/>
    <w:uiPriority w:val="0"/>
    <w:pPr>
      <w:spacing w:after="120"/>
      <w:ind w:left="420" w:leftChars="200"/>
    </w:pPr>
  </w:style>
  <w:style w:type="paragraph" w:styleId="7">
    <w:name w:val="Balloon Text"/>
    <w:basedOn w:val="1"/>
    <w:link w:val="28"/>
    <w:qFormat/>
    <w:uiPriority w:val="0"/>
    <w:rPr>
      <w:sz w:val="18"/>
      <w:szCs w:val="18"/>
    </w:rPr>
  </w:style>
  <w:style w:type="paragraph" w:styleId="8">
    <w:name w:val="footer"/>
    <w:basedOn w:val="1"/>
    <w:link w:val="29"/>
    <w:qFormat/>
    <w:uiPriority w:val="99"/>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annotation subject"/>
    <w:basedOn w:val="4"/>
    <w:next w:val="4"/>
    <w:link w:val="34"/>
    <w:qFormat/>
    <w:uiPriority w:val="0"/>
    <w:rPr>
      <w:b/>
      <w:bCs/>
    </w:rPr>
  </w:style>
  <w:style w:type="paragraph" w:styleId="13">
    <w:name w:val="Body Text First Indent"/>
    <w:basedOn w:val="5"/>
    <w:qFormat/>
    <w:uiPriority w:val="99"/>
    <w:pPr>
      <w:ind w:firstLine="420" w:firstLineChars="100"/>
    </w:pPr>
  </w:style>
  <w:style w:type="paragraph" w:styleId="14">
    <w:name w:val="Body Text First Indent 2"/>
    <w:basedOn w:val="6"/>
    <w:qFormat/>
    <w:uiPriority w:val="99"/>
    <w:pPr>
      <w:ind w:firstLine="420" w:firstLineChars="200"/>
    </w:pPr>
    <w:rPr>
      <w:rFonts w:ascii="Calibri" w:hAnsi="Calibri"/>
      <w:szCs w:val="22"/>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99"/>
    <w:rPr>
      <w:color w:val="0563C1"/>
      <w:u w:val="single"/>
    </w:rPr>
  </w:style>
  <w:style w:type="character" w:styleId="20">
    <w:name w:val="annotation reference"/>
    <w:basedOn w:val="17"/>
    <w:qFormat/>
    <w:uiPriority w:val="0"/>
    <w:rPr>
      <w:sz w:val="21"/>
      <w:szCs w:val="21"/>
    </w:rPr>
  </w:style>
  <w:style w:type="paragraph" w:customStyle="1" w:styleId="21">
    <w:name w:val="段"/>
    <w:next w:val="1"/>
    <w:qFormat/>
    <w:uiPriority w:val="0"/>
    <w:pPr>
      <w:autoSpaceDE w:val="0"/>
      <w:autoSpaceDN w:val="0"/>
      <w:ind w:firstLine="200"/>
      <w:jc w:val="both"/>
    </w:pPr>
    <w:rPr>
      <w:rFonts w:ascii="宋体" w:hAnsi="Times New Roman" w:eastAsia="宋体" w:cs="Times New Roman"/>
      <w:sz w:val="21"/>
      <w:szCs w:val="22"/>
      <w:lang w:val="en-US" w:eastAsia="zh-CN" w:bidi="ar-SA"/>
    </w:rPr>
  </w:style>
  <w:style w:type="character" w:customStyle="1" w:styleId="22">
    <w:name w:val="NormalCharacter"/>
    <w:qFormat/>
    <w:uiPriority w:val="0"/>
  </w:style>
  <w:style w:type="paragraph" w:customStyle="1" w:styleId="23">
    <w:name w:val="TOC2"/>
    <w:basedOn w:val="1"/>
    <w:next w:val="1"/>
    <w:qFormat/>
    <w:uiPriority w:val="0"/>
    <w:pPr>
      <w:ind w:left="420" w:leftChars="200"/>
    </w:pPr>
  </w:style>
  <w:style w:type="paragraph" w:customStyle="1" w:styleId="24">
    <w:name w:val="中心材料格式-正文"/>
    <w:basedOn w:val="1"/>
    <w:qFormat/>
    <w:uiPriority w:val="0"/>
    <w:pPr>
      <w:spacing w:line="560" w:lineRule="exact"/>
      <w:ind w:firstLine="640" w:firstLineChars="200"/>
    </w:pPr>
    <w:rPr>
      <w:rFonts w:hint="eastAsia" w:eastAsia="仿宋"/>
      <w:sz w:val="32"/>
      <w:szCs w:val="22"/>
    </w:rPr>
  </w:style>
  <w:style w:type="character" w:customStyle="1" w:styleId="25">
    <w:name w:val="font31"/>
    <w:basedOn w:val="17"/>
    <w:qFormat/>
    <w:uiPriority w:val="0"/>
    <w:rPr>
      <w:rFonts w:hint="eastAsia" w:ascii="宋体" w:hAnsi="宋体" w:eastAsia="宋体" w:cs="宋体"/>
      <w:color w:val="000000"/>
      <w:sz w:val="20"/>
      <w:szCs w:val="20"/>
      <w:u w:val="none"/>
    </w:rPr>
  </w:style>
  <w:style w:type="character" w:customStyle="1" w:styleId="26">
    <w:name w:val="15"/>
    <w:basedOn w:val="17"/>
    <w:qFormat/>
    <w:uiPriority w:val="0"/>
    <w:rPr>
      <w:rFonts w:hint="default" w:ascii="Times New Roman" w:hAnsi="Times New Roman" w:cs="Times New Roman"/>
      <w:color w:val="000000"/>
      <w:sz w:val="22"/>
      <w:szCs w:val="22"/>
    </w:rPr>
  </w:style>
  <w:style w:type="character" w:customStyle="1" w:styleId="27">
    <w:name w:val="页眉 字符"/>
    <w:basedOn w:val="17"/>
    <w:link w:val="9"/>
    <w:qFormat/>
    <w:uiPriority w:val="0"/>
    <w:rPr>
      <w:kern w:val="2"/>
      <w:sz w:val="18"/>
      <w:szCs w:val="18"/>
    </w:rPr>
  </w:style>
  <w:style w:type="character" w:customStyle="1" w:styleId="28">
    <w:name w:val="批注框文本 字符"/>
    <w:basedOn w:val="17"/>
    <w:link w:val="7"/>
    <w:qFormat/>
    <w:uiPriority w:val="0"/>
    <w:rPr>
      <w:kern w:val="2"/>
      <w:sz w:val="18"/>
      <w:szCs w:val="18"/>
    </w:rPr>
  </w:style>
  <w:style w:type="character" w:customStyle="1" w:styleId="29">
    <w:name w:val="页脚 字符"/>
    <w:basedOn w:val="17"/>
    <w:link w:val="8"/>
    <w:qFormat/>
    <w:uiPriority w:val="99"/>
    <w:rPr>
      <w:kern w:val="2"/>
      <w:sz w:val="18"/>
      <w:szCs w:val="18"/>
    </w:rPr>
  </w:style>
  <w:style w:type="paragraph" w:styleId="30">
    <w:name w:val="List Paragraph"/>
    <w:basedOn w:val="1"/>
    <w:qFormat/>
    <w:uiPriority w:val="0"/>
    <w:pPr>
      <w:ind w:firstLine="420" w:firstLineChars="200"/>
    </w:pPr>
  </w:style>
  <w:style w:type="character" w:customStyle="1" w:styleId="31">
    <w:name w:val="正文文本 字符"/>
    <w:basedOn w:val="17"/>
    <w:link w:val="5"/>
    <w:qFormat/>
    <w:uiPriority w:val="0"/>
    <w:rPr>
      <w:kern w:val="2"/>
      <w:sz w:val="21"/>
      <w:szCs w:val="24"/>
    </w:rPr>
  </w:style>
  <w:style w:type="character" w:customStyle="1" w:styleId="32">
    <w:name w:val="正文文本首行缩进 字符"/>
    <w:basedOn w:val="31"/>
    <w:qFormat/>
    <w:uiPriority w:val="0"/>
    <w:rPr>
      <w:kern w:val="2"/>
      <w:sz w:val="21"/>
      <w:szCs w:val="24"/>
    </w:rPr>
  </w:style>
  <w:style w:type="character" w:customStyle="1" w:styleId="33">
    <w:name w:val="批注文字 字符"/>
    <w:basedOn w:val="17"/>
    <w:link w:val="4"/>
    <w:qFormat/>
    <w:uiPriority w:val="0"/>
    <w:rPr>
      <w:kern w:val="2"/>
      <w:sz w:val="21"/>
      <w:szCs w:val="24"/>
    </w:rPr>
  </w:style>
  <w:style w:type="character" w:customStyle="1" w:styleId="34">
    <w:name w:val="批注主题 字符"/>
    <w:basedOn w:val="33"/>
    <w:link w:val="12"/>
    <w:qFormat/>
    <w:uiPriority w:val="0"/>
    <w:rPr>
      <w:b/>
      <w:bCs/>
      <w:kern w:val="2"/>
      <w:sz w:val="21"/>
      <w:szCs w:val="24"/>
    </w:rPr>
  </w:style>
  <w:style w:type="paragraph" w:customStyle="1" w:styleId="35">
    <w:name w:val="闻政页码"/>
    <w:qFormat/>
    <w:uiPriority w:val="6"/>
    <w:pPr>
      <w:jc w:val="center"/>
    </w:pPr>
    <w:rPr>
      <w:rFonts w:ascii="Times New Roman" w:hAnsi="Times New Roman" w:eastAsia="Times New Roman" w:cs="Times New Roman"/>
      <w:sz w:val="21"/>
      <w:szCs w:val="28"/>
      <w:lang w:val="en-US" w:eastAsia="zh-CN" w:bidi="ar-SA"/>
    </w:rPr>
  </w:style>
  <w:style w:type="paragraph" w:customStyle="1" w:styleId="36">
    <w:name w:val="_Style 2"/>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4A43BC-4193-4038-865E-86634901AAF1}">
  <ds:schemaRefs/>
</ds:datastoreItem>
</file>

<file path=docProps/app.xml><?xml version="1.0" encoding="utf-8"?>
<Properties xmlns="http://schemas.openxmlformats.org/officeDocument/2006/extended-properties" xmlns:vt="http://schemas.openxmlformats.org/officeDocument/2006/docPropsVTypes">
  <Template>Normal</Template>
  <Pages>27</Pages>
  <Words>1596</Words>
  <Characters>1791</Characters>
  <Lines>368</Lines>
  <Paragraphs>89</Paragraphs>
  <TotalTime>27</TotalTime>
  <ScaleCrop>false</ScaleCrop>
  <LinksUpToDate>false</LinksUpToDate>
  <CharactersWithSpaces>1831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2025-06-30T07:19:00Z</dcterms:created>
  <dc:creator>ZFX</dc:creator>
  <cp:lastModifiedBy>1902</cp:lastModifiedBy>
  <cp:lastPrinted>2023-06-25T03:10:00Z</cp:lastPrinted>
  <dcterms:modified xsi:type="dcterms:W3CDTF">2025-09-23T02:08:57Z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14134EA0266F4852AB334D1C999FEE12_13</vt:lpwstr>
  </property>
  <property fmtid="{D5CDD505-2E9C-101B-9397-08002B2CF9AE}" pid="4" name="KSOTemplateDocerSaveRecord">
    <vt:lpwstr>eyJoZGlkIjoiNmZhZDczOGUzMTNjOGUyNGJlZGRjNjQxY2MzMzI0YmUiLCJ1c2VySWQiOiIzMDYwODA5MDQifQ==</vt:lpwstr>
  </property>
</Properties>
</file>