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CF20D">
      <w:pPr>
        <w:pStyle w:val="35"/>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南京市节能技术服务中心</w:t>
      </w:r>
    </w:p>
    <w:p w14:paraId="7A4ECEAF">
      <w:pPr>
        <w:pStyle w:val="35"/>
        <w:rPr>
          <w:rFonts w:eastAsia="方正小标宋简体"/>
          <w:sz w:val="44"/>
          <w:szCs w:val="44"/>
        </w:rPr>
      </w:pPr>
      <w:r>
        <w:rPr>
          <w:rFonts w:hint="eastAsia" w:ascii="方正仿宋_GB2312" w:hAnsi="方正仿宋_GB2312" w:eastAsia="方正仿宋_GB2312" w:cs="方正仿宋_GB2312"/>
          <w:b/>
          <w:sz w:val="44"/>
          <w:szCs w:val="44"/>
        </w:rPr>
        <w:t>2024年度部门整体绩效自评价报告</w:t>
      </w:r>
    </w:p>
    <w:p w14:paraId="3C5C1A6B">
      <w:pPr>
        <w:adjustRightInd w:val="0"/>
        <w:snapToGrid w:val="0"/>
        <w:spacing w:line="760" w:lineRule="exact"/>
        <w:jc w:val="center"/>
        <w:rPr>
          <w:sz w:val="28"/>
          <w:szCs w:val="28"/>
        </w:rPr>
      </w:pPr>
    </w:p>
    <w:p w14:paraId="346E44AD">
      <w:pPr>
        <w:spacing w:line="500" w:lineRule="exact"/>
        <w:jc w:val="center"/>
        <w:rPr>
          <w:b/>
          <w:spacing w:val="-10"/>
        </w:rPr>
      </w:pPr>
    </w:p>
    <w:p w14:paraId="054D7778">
      <w:pPr>
        <w:spacing w:line="500" w:lineRule="exact"/>
        <w:jc w:val="center"/>
        <w:rPr>
          <w:rFonts w:eastAsia="楷体_GB2312"/>
          <w:b/>
          <w:spacing w:val="-10"/>
          <w:sz w:val="32"/>
        </w:rPr>
      </w:pPr>
    </w:p>
    <w:p w14:paraId="07ECE92D">
      <w:pPr>
        <w:spacing w:line="500" w:lineRule="exact"/>
        <w:rPr>
          <w:rFonts w:eastAsia="楷体_GB2312"/>
          <w:spacing w:val="-10"/>
          <w:sz w:val="28"/>
        </w:rPr>
      </w:pPr>
    </w:p>
    <w:p w14:paraId="26BA07C4">
      <w:pPr>
        <w:spacing w:line="500" w:lineRule="exact"/>
        <w:rPr>
          <w:rFonts w:eastAsia="楷体_GB2312"/>
          <w:spacing w:val="-10"/>
          <w:sz w:val="28"/>
        </w:rPr>
      </w:pPr>
    </w:p>
    <w:p w14:paraId="49C8A852">
      <w:pPr>
        <w:spacing w:line="500" w:lineRule="exact"/>
        <w:rPr>
          <w:rFonts w:eastAsia="楷体_GB2312"/>
          <w:spacing w:val="-10"/>
          <w:sz w:val="28"/>
        </w:rPr>
      </w:pPr>
    </w:p>
    <w:p w14:paraId="31EE1B85">
      <w:pPr>
        <w:spacing w:line="500" w:lineRule="exact"/>
        <w:rPr>
          <w:rFonts w:eastAsia="楷体_GB2312"/>
          <w:spacing w:val="-10"/>
          <w:sz w:val="28"/>
        </w:rPr>
      </w:pPr>
    </w:p>
    <w:p w14:paraId="16A28CF8">
      <w:pPr>
        <w:spacing w:line="500" w:lineRule="exact"/>
        <w:rPr>
          <w:rFonts w:eastAsia="楷体_GB2312"/>
          <w:spacing w:val="-10"/>
          <w:sz w:val="28"/>
        </w:rPr>
      </w:pPr>
    </w:p>
    <w:p w14:paraId="7506BCCA">
      <w:pPr>
        <w:spacing w:line="500" w:lineRule="exact"/>
        <w:rPr>
          <w:rFonts w:eastAsia="楷体_GB2312"/>
          <w:spacing w:val="-10"/>
          <w:sz w:val="28"/>
        </w:rPr>
      </w:pPr>
    </w:p>
    <w:p w14:paraId="1E858227">
      <w:pPr>
        <w:spacing w:line="500" w:lineRule="exact"/>
        <w:rPr>
          <w:rFonts w:eastAsia="楷体_GB2312"/>
          <w:spacing w:val="-10"/>
          <w:sz w:val="28"/>
        </w:rPr>
      </w:pPr>
    </w:p>
    <w:p w14:paraId="02DED3E2">
      <w:pPr>
        <w:spacing w:line="500" w:lineRule="exact"/>
        <w:rPr>
          <w:rFonts w:eastAsia="楷体_GB2312"/>
          <w:spacing w:val="-10"/>
          <w:sz w:val="28"/>
        </w:rPr>
      </w:pPr>
    </w:p>
    <w:p w14:paraId="3973440B">
      <w:pPr>
        <w:spacing w:line="500" w:lineRule="exact"/>
        <w:rPr>
          <w:rFonts w:eastAsia="楷体_GB2312"/>
          <w:spacing w:val="-10"/>
          <w:sz w:val="28"/>
        </w:rPr>
      </w:pPr>
    </w:p>
    <w:p w14:paraId="160623A8">
      <w:pPr>
        <w:spacing w:line="500" w:lineRule="exact"/>
        <w:rPr>
          <w:rFonts w:eastAsia="楷体_GB2312"/>
          <w:spacing w:val="-10"/>
          <w:sz w:val="28"/>
        </w:rPr>
      </w:pPr>
    </w:p>
    <w:p w14:paraId="04929D5B">
      <w:pPr>
        <w:spacing w:line="500" w:lineRule="exact"/>
        <w:rPr>
          <w:rFonts w:eastAsia="楷体_GB2312"/>
          <w:spacing w:val="-10"/>
          <w:sz w:val="28"/>
        </w:rPr>
      </w:pPr>
    </w:p>
    <w:p w14:paraId="07AB5DD1">
      <w:pPr>
        <w:jc w:val="center"/>
        <w:rPr>
          <w:rFonts w:eastAsia="楷体_GB2312"/>
          <w:sz w:val="36"/>
        </w:rPr>
      </w:pPr>
      <w:r>
        <w:rPr>
          <w:rFonts w:hint="eastAsia" w:eastAsia="楷体_GB2312"/>
          <w:sz w:val="36"/>
        </w:rPr>
        <w:t>南京市节能技术服务中心</w:t>
      </w:r>
    </w:p>
    <w:p w14:paraId="543ABF6A">
      <w:pPr>
        <w:jc w:val="center"/>
        <w:rPr>
          <w:rFonts w:hint="eastAsia" w:ascii="方正仿宋_GB2312" w:hAnsi="方正仿宋_GB2312" w:eastAsia="方正仿宋_GB2312" w:cs="方正仿宋_GB2312"/>
          <w:b/>
          <w:bCs/>
          <w:color w:val="000000"/>
          <w:sz w:val="28"/>
          <w:szCs w:val="28"/>
        </w:rPr>
      </w:pPr>
      <w:r>
        <w:rPr>
          <w:rFonts w:hint="eastAsia" w:eastAsia="楷体_GB2312"/>
          <w:sz w:val="36"/>
        </w:rPr>
        <w:t>二〇二五</w:t>
      </w:r>
      <w:r>
        <w:rPr>
          <w:rFonts w:eastAsia="楷体_GB2312"/>
          <w:sz w:val="36"/>
        </w:rPr>
        <w:t>年六月</w:t>
      </w:r>
    </w:p>
    <w:p w14:paraId="6CCE30F4">
      <w:pPr>
        <w:spacing w:line="560" w:lineRule="exact"/>
        <w:jc w:val="center"/>
        <w:rPr>
          <w:rStyle w:val="22"/>
          <w:rFonts w:hint="eastAsia" w:ascii="方正小标宋简体" w:hAnsi="方正小标宋简体" w:eastAsia="方正小标宋简体" w:cs="方正小标宋简体"/>
          <w:b/>
          <w:bCs/>
          <w:sz w:val="44"/>
          <w:szCs w:val="44"/>
        </w:rPr>
        <w:sectPr>
          <w:headerReference r:id="rId3" w:type="default"/>
          <w:footerReference r:id="rId4" w:type="default"/>
          <w:pgSz w:w="11906" w:h="16838"/>
          <w:pgMar w:top="1440" w:right="1803" w:bottom="1440" w:left="1803" w:header="851" w:footer="992" w:gutter="0"/>
          <w:cols w:space="0" w:num="1"/>
          <w:docGrid w:type="lines" w:linePitch="312" w:charSpace="0"/>
        </w:sectPr>
      </w:pPr>
    </w:p>
    <w:p w14:paraId="3D38EC9D">
      <w:pPr>
        <w:pStyle w:val="36"/>
        <w:spacing w:line="360" w:lineRule="auto"/>
        <w:jc w:val="center"/>
        <w:rPr>
          <w:rFonts w:hint="eastAsia" w:ascii="方正仿宋_GB2312" w:hAnsi="方正仿宋_GB2312" w:eastAsia="方正仿宋_GB2312" w:cs="方正仿宋_GB2312"/>
          <w:b/>
          <w:bCs/>
          <w:color w:val="000000"/>
          <w:sz w:val="28"/>
          <w:szCs w:val="28"/>
        </w:rPr>
      </w:pPr>
      <w:r>
        <w:rPr>
          <w:rFonts w:hint="eastAsia" w:ascii="方正仿宋_GB2312" w:hAnsi="方正仿宋_GB2312" w:eastAsia="方正仿宋_GB2312" w:cs="方正仿宋_GB2312"/>
          <w:b/>
          <w:bCs/>
          <w:color w:val="000000"/>
          <w:sz w:val="28"/>
          <w:szCs w:val="28"/>
          <w:lang w:val="zh-CN"/>
        </w:rPr>
        <w:t>目</w:t>
      </w:r>
      <w:r>
        <w:rPr>
          <w:rFonts w:hint="eastAsia" w:ascii="方正仿宋_GB2312" w:hAnsi="方正仿宋_GB2312" w:eastAsia="方正仿宋_GB2312" w:cs="方正仿宋_GB2312"/>
          <w:b/>
          <w:bCs/>
          <w:color w:val="000000"/>
          <w:sz w:val="28"/>
          <w:szCs w:val="28"/>
        </w:rPr>
        <w:t xml:space="preserve">  </w:t>
      </w:r>
      <w:r>
        <w:rPr>
          <w:rFonts w:hint="eastAsia" w:ascii="方正仿宋_GB2312" w:hAnsi="方正仿宋_GB2312" w:eastAsia="方正仿宋_GB2312" w:cs="方正仿宋_GB2312"/>
          <w:b/>
          <w:bCs/>
          <w:color w:val="000000"/>
          <w:sz w:val="28"/>
          <w:szCs w:val="28"/>
          <w:lang w:val="zh-CN"/>
        </w:rPr>
        <w:t>录</w:t>
      </w:r>
    </w:p>
    <w:p w14:paraId="4BDA1322">
      <w:pPr>
        <w:pStyle w:val="10"/>
        <w:tabs>
          <w:tab w:val="right" w:leader="dot" w:pos="8300"/>
        </w:tabs>
        <w:spacing w:line="360" w:lineRule="auto"/>
      </w:pPr>
      <w:r>
        <w:rPr>
          <w:rFonts w:hint="eastAsia" w:ascii="方正仿宋_GB2312" w:hAnsi="方正仿宋_GB2312" w:eastAsia="方正仿宋_GB2312" w:cs="方正仿宋_GB2312"/>
          <w:color w:val="000000"/>
          <w:szCs w:val="21"/>
        </w:rPr>
        <w:fldChar w:fldCharType="begin"/>
      </w:r>
      <w:r>
        <w:rPr>
          <w:rFonts w:hint="eastAsia" w:ascii="方正仿宋_GB2312" w:hAnsi="方正仿宋_GB2312" w:eastAsia="方正仿宋_GB2312" w:cs="方正仿宋_GB2312"/>
          <w:color w:val="000000"/>
          <w:szCs w:val="21"/>
        </w:rPr>
        <w:instrText xml:space="preserve"> TOC \o "1-3" \h \z \u </w:instrText>
      </w:r>
      <w:r>
        <w:rPr>
          <w:rFonts w:hint="eastAsia" w:ascii="方正仿宋_GB2312" w:hAnsi="方正仿宋_GB2312" w:eastAsia="方正仿宋_GB2312" w:cs="方正仿宋_GB2312"/>
          <w:color w:val="000000"/>
          <w:szCs w:val="21"/>
        </w:rPr>
        <w:fldChar w:fldCharType="separate"/>
      </w:r>
      <w:r>
        <w:fldChar w:fldCharType="begin"/>
      </w:r>
      <w:r>
        <w:instrText xml:space="preserve"> HYPERLINK \l "_Toc4913" </w:instrText>
      </w:r>
      <w:r>
        <w:fldChar w:fldCharType="separate"/>
      </w:r>
      <w:r>
        <w:rPr>
          <w:rFonts w:hint="eastAsia" w:ascii="方正仿宋_GB2312" w:hAnsi="方正仿宋_GB2312" w:eastAsia="方正仿宋_GB2312" w:cs="方正仿宋_GB2312"/>
          <w:bCs/>
          <w:kern w:val="0"/>
          <w:szCs w:val="28"/>
        </w:rPr>
        <w:t>一、单位概况</w:t>
      </w:r>
      <w:r>
        <w:tab/>
      </w:r>
      <w:r>
        <w:fldChar w:fldCharType="begin"/>
      </w:r>
      <w:r>
        <w:instrText xml:space="preserve"> PAGEREF _Toc4913 \h </w:instrText>
      </w:r>
      <w:r>
        <w:fldChar w:fldCharType="separate"/>
      </w:r>
      <w:r>
        <w:t>1</w:t>
      </w:r>
      <w:r>
        <w:fldChar w:fldCharType="end"/>
      </w:r>
      <w:r>
        <w:fldChar w:fldCharType="end"/>
      </w:r>
    </w:p>
    <w:p w14:paraId="081CDFDD">
      <w:pPr>
        <w:pStyle w:val="11"/>
        <w:tabs>
          <w:tab w:val="right" w:leader="dot" w:pos="8300"/>
        </w:tabs>
        <w:spacing w:line="360" w:lineRule="auto"/>
      </w:pPr>
      <w:r>
        <w:fldChar w:fldCharType="begin"/>
      </w:r>
      <w:r>
        <w:instrText xml:space="preserve"> HYPERLINK \l "_Toc21268" </w:instrText>
      </w:r>
      <w:r>
        <w:fldChar w:fldCharType="separate"/>
      </w:r>
      <w:r>
        <w:rPr>
          <w:rFonts w:hint="eastAsia" w:ascii="方正仿宋_GB2312" w:hAnsi="方正仿宋_GB2312" w:eastAsia="方正仿宋_GB2312" w:cs="方正仿宋_GB2312"/>
          <w:bCs/>
          <w:kern w:val="0"/>
          <w:szCs w:val="28"/>
        </w:rPr>
        <w:t>（</w:t>
      </w:r>
      <w:r>
        <w:rPr>
          <w:rFonts w:hint="eastAsia" w:ascii="方正仿宋_GB2312" w:hAnsi="方正仿宋_GB2312" w:eastAsia="方正仿宋_GB2312" w:cs="方正仿宋_GB2312"/>
          <w:bCs/>
          <w:szCs w:val="28"/>
        </w:rPr>
        <w:t>一）基本情况</w:t>
      </w:r>
      <w:r>
        <w:tab/>
      </w:r>
      <w:r>
        <w:fldChar w:fldCharType="begin"/>
      </w:r>
      <w:r>
        <w:instrText xml:space="preserve"> PAGEREF _Toc21268 \h </w:instrText>
      </w:r>
      <w:r>
        <w:fldChar w:fldCharType="separate"/>
      </w:r>
      <w:r>
        <w:t>1</w:t>
      </w:r>
      <w:r>
        <w:fldChar w:fldCharType="end"/>
      </w:r>
      <w:r>
        <w:fldChar w:fldCharType="end"/>
      </w:r>
    </w:p>
    <w:p w14:paraId="56C4D2F6">
      <w:pPr>
        <w:pStyle w:val="11"/>
        <w:tabs>
          <w:tab w:val="right" w:leader="dot" w:pos="8300"/>
        </w:tabs>
        <w:spacing w:line="360" w:lineRule="auto"/>
      </w:pPr>
      <w:r>
        <w:fldChar w:fldCharType="begin"/>
      </w:r>
      <w:r>
        <w:instrText xml:space="preserve"> HYPERLINK \l "_Toc16041" </w:instrText>
      </w:r>
      <w:r>
        <w:fldChar w:fldCharType="separate"/>
      </w:r>
      <w:r>
        <w:rPr>
          <w:rFonts w:hint="eastAsia" w:ascii="方正仿宋_GB2312" w:hAnsi="方正仿宋_GB2312" w:eastAsia="方正仿宋_GB2312" w:cs="方正仿宋_GB2312"/>
          <w:bCs/>
          <w:kern w:val="0"/>
          <w:szCs w:val="28"/>
        </w:rPr>
        <w:t>（二</w:t>
      </w:r>
      <w:r>
        <w:rPr>
          <w:rFonts w:hint="eastAsia" w:ascii="方正仿宋_GB2312" w:hAnsi="方正仿宋_GB2312" w:eastAsia="方正仿宋_GB2312" w:cs="方正仿宋_GB2312"/>
          <w:bCs/>
          <w:szCs w:val="28"/>
        </w:rPr>
        <w:t>）单位资金情况</w:t>
      </w:r>
      <w:r>
        <w:tab/>
      </w:r>
      <w:r>
        <w:fldChar w:fldCharType="begin"/>
      </w:r>
      <w:r>
        <w:instrText xml:space="preserve"> PAGEREF _Toc16041 \h </w:instrText>
      </w:r>
      <w:r>
        <w:fldChar w:fldCharType="separate"/>
      </w:r>
      <w:r>
        <w:t>3</w:t>
      </w:r>
      <w:r>
        <w:fldChar w:fldCharType="end"/>
      </w:r>
      <w:r>
        <w:fldChar w:fldCharType="end"/>
      </w:r>
    </w:p>
    <w:p w14:paraId="57DE119D">
      <w:pPr>
        <w:pStyle w:val="10"/>
        <w:tabs>
          <w:tab w:val="right" w:leader="dot" w:pos="8300"/>
        </w:tabs>
        <w:spacing w:line="360" w:lineRule="auto"/>
        <w:ind w:firstLine="420" w:firstLineChars="200"/>
      </w:pPr>
      <w:r>
        <w:fldChar w:fldCharType="begin"/>
      </w:r>
      <w:r>
        <w:instrText xml:space="preserve"> HYPERLINK \l "_Toc10526" </w:instrText>
      </w:r>
      <w:r>
        <w:fldChar w:fldCharType="separate"/>
      </w:r>
      <w:r>
        <w:rPr>
          <w:rFonts w:hint="eastAsia" w:ascii="方正仿宋_GB2312" w:hAnsi="方正仿宋_GB2312" w:eastAsia="方正仿宋_GB2312" w:cs="方正仿宋_GB2312"/>
          <w:bCs/>
          <w:kern w:val="0"/>
          <w:szCs w:val="28"/>
        </w:rPr>
        <w:t>（三</w:t>
      </w:r>
      <w:r>
        <w:rPr>
          <w:rFonts w:hint="eastAsia" w:ascii="方正仿宋_GB2312" w:hAnsi="方正仿宋_GB2312" w:eastAsia="方正仿宋_GB2312" w:cs="方正仿宋_GB2312"/>
          <w:bCs/>
          <w:szCs w:val="28"/>
        </w:rPr>
        <w:t>）单位绩效目标</w:t>
      </w:r>
      <w:r>
        <w:tab/>
      </w:r>
      <w:r>
        <w:fldChar w:fldCharType="begin"/>
      </w:r>
      <w:r>
        <w:instrText xml:space="preserve"> PAGEREF _Toc10526 \h </w:instrText>
      </w:r>
      <w:r>
        <w:fldChar w:fldCharType="separate"/>
      </w:r>
      <w:r>
        <w:t>4</w:t>
      </w:r>
      <w:r>
        <w:fldChar w:fldCharType="end"/>
      </w:r>
      <w:r>
        <w:fldChar w:fldCharType="end"/>
      </w:r>
    </w:p>
    <w:p w14:paraId="7D56A39A">
      <w:pPr>
        <w:pStyle w:val="10"/>
        <w:tabs>
          <w:tab w:val="right" w:leader="dot" w:pos="8300"/>
        </w:tabs>
        <w:spacing w:line="360" w:lineRule="auto"/>
      </w:pPr>
      <w:r>
        <w:fldChar w:fldCharType="begin"/>
      </w:r>
      <w:r>
        <w:instrText xml:space="preserve"> HYPERLINK \l "_Toc5462" </w:instrText>
      </w:r>
      <w:r>
        <w:fldChar w:fldCharType="separate"/>
      </w:r>
      <w:r>
        <w:rPr>
          <w:rFonts w:hint="eastAsia" w:ascii="方正仿宋_GB2312" w:hAnsi="方正仿宋_GB2312" w:eastAsia="方正仿宋_GB2312" w:cs="方正仿宋_GB2312"/>
          <w:bCs/>
          <w:kern w:val="0"/>
          <w:szCs w:val="28"/>
        </w:rPr>
        <w:t>二、评价结论</w:t>
      </w:r>
      <w:r>
        <w:tab/>
      </w:r>
      <w:r>
        <w:fldChar w:fldCharType="begin"/>
      </w:r>
      <w:r>
        <w:instrText xml:space="preserve"> PAGEREF _Toc5462 \h </w:instrText>
      </w:r>
      <w:r>
        <w:fldChar w:fldCharType="separate"/>
      </w:r>
      <w:r>
        <w:t>5</w:t>
      </w:r>
      <w:r>
        <w:fldChar w:fldCharType="end"/>
      </w:r>
      <w:r>
        <w:fldChar w:fldCharType="end"/>
      </w:r>
    </w:p>
    <w:p w14:paraId="7FCF368A">
      <w:pPr>
        <w:pStyle w:val="11"/>
        <w:tabs>
          <w:tab w:val="right" w:leader="dot" w:pos="8300"/>
        </w:tabs>
        <w:spacing w:line="360" w:lineRule="auto"/>
      </w:pPr>
      <w:r>
        <w:fldChar w:fldCharType="begin"/>
      </w:r>
      <w:r>
        <w:instrText xml:space="preserve"> HYPERLINK \l "_Toc29785" </w:instrText>
      </w:r>
      <w:r>
        <w:fldChar w:fldCharType="separate"/>
      </w:r>
      <w:r>
        <w:rPr>
          <w:rFonts w:hint="eastAsia" w:ascii="方正仿宋_GB2312" w:hAnsi="方正仿宋_GB2312" w:eastAsia="方正仿宋_GB2312" w:cs="方正仿宋_GB2312"/>
          <w:bCs/>
          <w:kern w:val="0"/>
          <w:szCs w:val="28"/>
        </w:rPr>
        <w:t>（一）评价对象与范围</w:t>
      </w:r>
      <w:r>
        <w:tab/>
      </w:r>
      <w:r>
        <w:fldChar w:fldCharType="begin"/>
      </w:r>
      <w:r>
        <w:instrText xml:space="preserve"> PAGEREF _Toc29785 \h </w:instrText>
      </w:r>
      <w:r>
        <w:fldChar w:fldCharType="separate"/>
      </w:r>
      <w:r>
        <w:t>5</w:t>
      </w:r>
      <w:r>
        <w:fldChar w:fldCharType="end"/>
      </w:r>
      <w:r>
        <w:fldChar w:fldCharType="end"/>
      </w:r>
    </w:p>
    <w:p w14:paraId="4B6C460A">
      <w:pPr>
        <w:pStyle w:val="11"/>
        <w:tabs>
          <w:tab w:val="right" w:leader="dot" w:pos="8300"/>
        </w:tabs>
        <w:spacing w:line="360" w:lineRule="auto"/>
      </w:pPr>
      <w:r>
        <w:fldChar w:fldCharType="begin"/>
      </w:r>
      <w:r>
        <w:instrText xml:space="preserve"> HYPERLINK \l "_Toc14590" </w:instrText>
      </w:r>
      <w:r>
        <w:fldChar w:fldCharType="separate"/>
      </w:r>
      <w:r>
        <w:rPr>
          <w:rFonts w:hint="eastAsia" w:ascii="方正仿宋_GB2312" w:hAnsi="方正仿宋_GB2312" w:eastAsia="方正仿宋_GB2312" w:cs="方正仿宋_GB2312"/>
          <w:bCs/>
          <w:kern w:val="0"/>
          <w:szCs w:val="28"/>
        </w:rPr>
        <w:t>（二）绩效评价结论</w:t>
      </w:r>
      <w:r>
        <w:tab/>
      </w:r>
      <w:r>
        <w:fldChar w:fldCharType="begin"/>
      </w:r>
      <w:r>
        <w:instrText xml:space="preserve"> PAGEREF _Toc14590 \h </w:instrText>
      </w:r>
      <w:r>
        <w:fldChar w:fldCharType="separate"/>
      </w:r>
      <w:r>
        <w:t>5</w:t>
      </w:r>
      <w:r>
        <w:fldChar w:fldCharType="end"/>
      </w:r>
      <w:r>
        <w:fldChar w:fldCharType="end"/>
      </w:r>
    </w:p>
    <w:p w14:paraId="13C7DBDB">
      <w:pPr>
        <w:pStyle w:val="10"/>
        <w:tabs>
          <w:tab w:val="right" w:leader="dot" w:pos="8300"/>
        </w:tabs>
        <w:spacing w:line="360" w:lineRule="auto"/>
      </w:pPr>
      <w:r>
        <w:fldChar w:fldCharType="begin"/>
      </w:r>
      <w:r>
        <w:instrText xml:space="preserve"> HYPERLINK \l "_Toc8180" </w:instrText>
      </w:r>
      <w:r>
        <w:fldChar w:fldCharType="separate"/>
      </w:r>
      <w:r>
        <w:rPr>
          <w:rFonts w:hint="eastAsia" w:ascii="方正仿宋_GB2312" w:hAnsi="方正仿宋_GB2312" w:eastAsia="方正仿宋_GB2312" w:cs="方正仿宋_GB2312"/>
          <w:bCs/>
          <w:kern w:val="0"/>
          <w:szCs w:val="28"/>
        </w:rPr>
        <w:t>三、单位履职成效</w:t>
      </w:r>
      <w:r>
        <w:tab/>
      </w:r>
      <w:r>
        <w:fldChar w:fldCharType="begin"/>
      </w:r>
      <w:r>
        <w:instrText xml:space="preserve"> PAGEREF _Toc8180 \h </w:instrText>
      </w:r>
      <w:r>
        <w:fldChar w:fldCharType="separate"/>
      </w:r>
      <w:r>
        <w:t>6</w:t>
      </w:r>
      <w:r>
        <w:fldChar w:fldCharType="end"/>
      </w:r>
      <w:r>
        <w:fldChar w:fldCharType="end"/>
      </w:r>
    </w:p>
    <w:p w14:paraId="754A1B73">
      <w:pPr>
        <w:pStyle w:val="11"/>
        <w:tabs>
          <w:tab w:val="right" w:leader="dot" w:pos="8300"/>
        </w:tabs>
        <w:spacing w:line="360" w:lineRule="auto"/>
      </w:pPr>
      <w:r>
        <w:fldChar w:fldCharType="begin"/>
      </w:r>
      <w:r>
        <w:instrText xml:space="preserve"> HYPERLINK \l "_Toc32398" </w:instrText>
      </w:r>
      <w:r>
        <w:fldChar w:fldCharType="separate"/>
      </w:r>
      <w:r>
        <w:rPr>
          <w:rFonts w:hint="eastAsia" w:ascii="方正仿宋_GB2312" w:hAnsi="方正仿宋_GB2312" w:eastAsia="方正仿宋_GB2312" w:cs="方正仿宋_GB2312"/>
          <w:bCs/>
          <w:kern w:val="0"/>
          <w:szCs w:val="28"/>
        </w:rPr>
        <w:t>（一）强化公益与技术支撑，启动绿色发展新征程</w:t>
      </w:r>
      <w:r>
        <w:tab/>
      </w:r>
      <w:r>
        <w:fldChar w:fldCharType="begin"/>
      </w:r>
      <w:r>
        <w:instrText xml:space="preserve"> PAGEREF _Toc32398 \h </w:instrText>
      </w:r>
      <w:r>
        <w:fldChar w:fldCharType="separate"/>
      </w:r>
      <w:r>
        <w:t>6</w:t>
      </w:r>
      <w:r>
        <w:fldChar w:fldCharType="end"/>
      </w:r>
      <w:r>
        <w:fldChar w:fldCharType="end"/>
      </w:r>
    </w:p>
    <w:p w14:paraId="370C0224">
      <w:pPr>
        <w:pStyle w:val="11"/>
        <w:tabs>
          <w:tab w:val="right" w:leader="dot" w:pos="8300"/>
        </w:tabs>
        <w:spacing w:line="360" w:lineRule="auto"/>
      </w:pPr>
      <w:r>
        <w:fldChar w:fldCharType="begin"/>
      </w:r>
      <w:r>
        <w:instrText xml:space="preserve"> HYPERLINK \l "_Toc20927" </w:instrText>
      </w:r>
      <w:r>
        <w:fldChar w:fldCharType="separate"/>
      </w:r>
      <w:r>
        <w:rPr>
          <w:rFonts w:hint="eastAsia" w:ascii="方正仿宋_GB2312" w:hAnsi="方正仿宋_GB2312" w:eastAsia="方正仿宋_GB2312" w:cs="方正仿宋_GB2312"/>
          <w:bCs/>
          <w:kern w:val="0"/>
          <w:szCs w:val="28"/>
        </w:rPr>
        <w:t>（二）强化宣传培训引导，打造能源管理高素质队伍</w:t>
      </w:r>
      <w:r>
        <w:tab/>
      </w:r>
      <w:r>
        <w:fldChar w:fldCharType="begin"/>
      </w:r>
      <w:r>
        <w:instrText xml:space="preserve"> PAGEREF _Toc20927 \h </w:instrText>
      </w:r>
      <w:r>
        <w:fldChar w:fldCharType="separate"/>
      </w:r>
      <w:r>
        <w:t>8</w:t>
      </w:r>
      <w:r>
        <w:fldChar w:fldCharType="end"/>
      </w:r>
      <w:r>
        <w:fldChar w:fldCharType="end"/>
      </w:r>
    </w:p>
    <w:p w14:paraId="62BAE030">
      <w:pPr>
        <w:pStyle w:val="11"/>
        <w:tabs>
          <w:tab w:val="right" w:leader="dot" w:pos="8300"/>
        </w:tabs>
        <w:spacing w:line="360" w:lineRule="auto"/>
      </w:pPr>
      <w:r>
        <w:fldChar w:fldCharType="begin"/>
      </w:r>
      <w:r>
        <w:instrText xml:space="preserve"> HYPERLINK \l "_Toc20196" </w:instrText>
      </w:r>
      <w:r>
        <w:fldChar w:fldCharType="separate"/>
      </w:r>
      <w:r>
        <w:rPr>
          <w:rFonts w:hint="eastAsia" w:ascii="方正仿宋_GB2312" w:hAnsi="方正仿宋_GB2312" w:eastAsia="方正仿宋_GB2312" w:cs="方正仿宋_GB2312"/>
          <w:bCs/>
          <w:kern w:val="0"/>
          <w:szCs w:val="28"/>
        </w:rPr>
        <w:t>（三）强化市场服务意识，激发绿色发展活力</w:t>
      </w:r>
      <w:r>
        <w:tab/>
      </w:r>
      <w:r>
        <w:fldChar w:fldCharType="begin"/>
      </w:r>
      <w:r>
        <w:instrText xml:space="preserve"> PAGEREF _Toc20196 \h </w:instrText>
      </w:r>
      <w:r>
        <w:fldChar w:fldCharType="separate"/>
      </w:r>
      <w:r>
        <w:t>9</w:t>
      </w:r>
      <w:r>
        <w:fldChar w:fldCharType="end"/>
      </w:r>
      <w:r>
        <w:fldChar w:fldCharType="end"/>
      </w:r>
    </w:p>
    <w:p w14:paraId="36378BB9">
      <w:pPr>
        <w:pStyle w:val="11"/>
        <w:tabs>
          <w:tab w:val="right" w:leader="dot" w:pos="8300"/>
        </w:tabs>
        <w:spacing w:line="360" w:lineRule="auto"/>
      </w:pPr>
      <w:r>
        <w:fldChar w:fldCharType="begin"/>
      </w:r>
      <w:r>
        <w:instrText xml:space="preserve"> HYPERLINK \l "_Toc26682" </w:instrText>
      </w:r>
      <w:r>
        <w:fldChar w:fldCharType="separate"/>
      </w:r>
      <w:r>
        <w:rPr>
          <w:rFonts w:hint="eastAsia" w:ascii="方正仿宋_GB2312" w:hAnsi="方正仿宋_GB2312" w:eastAsia="方正仿宋_GB2312" w:cs="方正仿宋_GB2312"/>
          <w:bCs/>
          <w:kern w:val="0"/>
          <w:szCs w:val="28"/>
        </w:rPr>
        <w:t>（四）强化党建政治引领，推进中心高质量发展</w:t>
      </w:r>
      <w:r>
        <w:tab/>
      </w:r>
      <w:r>
        <w:fldChar w:fldCharType="begin"/>
      </w:r>
      <w:r>
        <w:instrText xml:space="preserve"> PAGEREF _Toc26682 \h </w:instrText>
      </w:r>
      <w:r>
        <w:fldChar w:fldCharType="separate"/>
      </w:r>
      <w:r>
        <w:t>9</w:t>
      </w:r>
      <w:r>
        <w:fldChar w:fldCharType="end"/>
      </w:r>
      <w:r>
        <w:fldChar w:fldCharType="end"/>
      </w:r>
    </w:p>
    <w:p w14:paraId="0BF7FC78">
      <w:pPr>
        <w:pStyle w:val="10"/>
        <w:tabs>
          <w:tab w:val="right" w:leader="dot" w:pos="8300"/>
        </w:tabs>
        <w:spacing w:line="360" w:lineRule="auto"/>
      </w:pPr>
      <w:r>
        <w:fldChar w:fldCharType="begin"/>
      </w:r>
      <w:r>
        <w:instrText xml:space="preserve"> HYPERLINK \l "_Toc19221" </w:instrText>
      </w:r>
      <w:r>
        <w:fldChar w:fldCharType="separate"/>
      </w:r>
      <w:r>
        <w:rPr>
          <w:rFonts w:hint="eastAsia" w:ascii="方正仿宋_GB2312" w:hAnsi="方正仿宋_GB2312" w:eastAsia="方正仿宋_GB2312" w:cs="方正仿宋_GB2312"/>
          <w:bCs/>
          <w:kern w:val="0"/>
          <w:szCs w:val="28"/>
        </w:rPr>
        <w:t>四、存在问题及原因分析</w:t>
      </w:r>
      <w:r>
        <w:tab/>
      </w:r>
      <w:r>
        <w:fldChar w:fldCharType="begin"/>
      </w:r>
      <w:r>
        <w:instrText xml:space="preserve"> PAGEREF _Toc19221 \h </w:instrText>
      </w:r>
      <w:r>
        <w:fldChar w:fldCharType="separate"/>
      </w:r>
      <w:r>
        <w:t>11</w:t>
      </w:r>
      <w:r>
        <w:fldChar w:fldCharType="end"/>
      </w:r>
      <w:r>
        <w:fldChar w:fldCharType="end"/>
      </w:r>
    </w:p>
    <w:p w14:paraId="439D4D47">
      <w:pPr>
        <w:pStyle w:val="11"/>
        <w:tabs>
          <w:tab w:val="right" w:leader="dot" w:pos="8300"/>
        </w:tabs>
        <w:spacing w:line="360" w:lineRule="auto"/>
      </w:pPr>
      <w:r>
        <w:fldChar w:fldCharType="begin"/>
      </w:r>
      <w:r>
        <w:instrText xml:space="preserve"> HYPERLINK \l "_Toc12896" </w:instrText>
      </w:r>
      <w:r>
        <w:fldChar w:fldCharType="separate"/>
      </w:r>
      <w:r>
        <w:rPr>
          <w:rFonts w:hint="eastAsia" w:ascii="方正仿宋_GB2312" w:hAnsi="方正仿宋_GB2312" w:eastAsia="方正仿宋_GB2312" w:cs="方正仿宋_GB2312"/>
          <w:bCs/>
          <w:kern w:val="0"/>
          <w:szCs w:val="28"/>
        </w:rPr>
        <w:t>（一）预算执行水平有待提升</w:t>
      </w:r>
      <w:r>
        <w:tab/>
      </w:r>
      <w:r>
        <w:fldChar w:fldCharType="begin"/>
      </w:r>
      <w:r>
        <w:instrText xml:space="preserve"> PAGEREF _Toc12896 \h </w:instrText>
      </w:r>
      <w:r>
        <w:fldChar w:fldCharType="separate"/>
      </w:r>
      <w:r>
        <w:t>11</w:t>
      </w:r>
      <w:r>
        <w:fldChar w:fldCharType="end"/>
      </w:r>
      <w:r>
        <w:fldChar w:fldCharType="end"/>
      </w:r>
    </w:p>
    <w:p w14:paraId="04AA73CA">
      <w:pPr>
        <w:pStyle w:val="11"/>
        <w:tabs>
          <w:tab w:val="right" w:leader="dot" w:pos="8300"/>
        </w:tabs>
        <w:spacing w:line="360" w:lineRule="auto"/>
      </w:pPr>
      <w:r>
        <w:fldChar w:fldCharType="begin"/>
      </w:r>
      <w:r>
        <w:instrText xml:space="preserve"> HYPERLINK \l "_Toc14237" </w:instrText>
      </w:r>
      <w:r>
        <w:fldChar w:fldCharType="separate"/>
      </w:r>
      <w:r>
        <w:rPr>
          <w:rFonts w:hint="eastAsia" w:ascii="方正仿宋_GB2312" w:hAnsi="方正仿宋_GB2312" w:eastAsia="方正仿宋_GB2312" w:cs="方正仿宋_GB2312"/>
          <w:bCs/>
          <w:kern w:val="0"/>
          <w:szCs w:val="28"/>
        </w:rPr>
        <w:t>（二）资产管理能力需加强</w:t>
      </w:r>
      <w:r>
        <w:tab/>
      </w:r>
      <w:r>
        <w:fldChar w:fldCharType="begin"/>
      </w:r>
      <w:r>
        <w:instrText xml:space="preserve"> PAGEREF _Toc14237 \h </w:instrText>
      </w:r>
      <w:r>
        <w:fldChar w:fldCharType="separate"/>
      </w:r>
      <w:r>
        <w:t>12</w:t>
      </w:r>
      <w:r>
        <w:fldChar w:fldCharType="end"/>
      </w:r>
      <w:r>
        <w:fldChar w:fldCharType="end"/>
      </w:r>
    </w:p>
    <w:p w14:paraId="1A28BB71">
      <w:pPr>
        <w:pStyle w:val="11"/>
        <w:tabs>
          <w:tab w:val="right" w:leader="dot" w:pos="8300"/>
        </w:tabs>
        <w:spacing w:line="360" w:lineRule="auto"/>
      </w:pPr>
      <w:r>
        <w:fldChar w:fldCharType="begin"/>
      </w:r>
      <w:r>
        <w:instrText xml:space="preserve"> HYPERLINK \l "_Toc30328" </w:instrText>
      </w:r>
      <w:r>
        <w:fldChar w:fldCharType="separate"/>
      </w:r>
      <w:r>
        <w:rPr>
          <w:rFonts w:hint="eastAsia" w:ascii="方正仿宋_GB2312" w:hAnsi="方正仿宋_GB2312" w:eastAsia="方正仿宋_GB2312" w:cs="方正仿宋_GB2312"/>
          <w:bCs/>
          <w:kern w:val="0"/>
          <w:szCs w:val="28"/>
        </w:rPr>
        <w:t>（三）单位人才队伍建设不完善</w:t>
      </w:r>
      <w:r>
        <w:tab/>
      </w:r>
      <w:r>
        <w:fldChar w:fldCharType="begin"/>
      </w:r>
      <w:r>
        <w:instrText xml:space="preserve"> PAGEREF _Toc30328 \h </w:instrText>
      </w:r>
      <w:r>
        <w:fldChar w:fldCharType="separate"/>
      </w:r>
      <w:r>
        <w:t>12</w:t>
      </w:r>
      <w:r>
        <w:fldChar w:fldCharType="end"/>
      </w:r>
      <w:r>
        <w:fldChar w:fldCharType="end"/>
      </w:r>
    </w:p>
    <w:p w14:paraId="27AB943A">
      <w:pPr>
        <w:pStyle w:val="10"/>
        <w:tabs>
          <w:tab w:val="right" w:leader="dot" w:pos="8300"/>
        </w:tabs>
        <w:spacing w:line="360" w:lineRule="auto"/>
      </w:pPr>
      <w:r>
        <w:fldChar w:fldCharType="begin"/>
      </w:r>
      <w:r>
        <w:instrText xml:space="preserve"> HYPERLINK \l "_Toc3680" </w:instrText>
      </w:r>
      <w:r>
        <w:fldChar w:fldCharType="separate"/>
      </w:r>
      <w:r>
        <w:rPr>
          <w:rFonts w:hint="eastAsia" w:ascii="方正仿宋_GB2312" w:hAnsi="方正仿宋_GB2312" w:eastAsia="方正仿宋_GB2312" w:cs="方正仿宋_GB2312"/>
          <w:bCs/>
          <w:kern w:val="0"/>
          <w:szCs w:val="28"/>
        </w:rPr>
        <w:t>五、有关建议</w:t>
      </w:r>
      <w:r>
        <w:tab/>
      </w:r>
      <w:r>
        <w:fldChar w:fldCharType="begin"/>
      </w:r>
      <w:r>
        <w:instrText xml:space="preserve"> PAGEREF _Toc3680 \h </w:instrText>
      </w:r>
      <w:r>
        <w:fldChar w:fldCharType="separate"/>
      </w:r>
      <w:r>
        <w:t>12</w:t>
      </w:r>
      <w:r>
        <w:fldChar w:fldCharType="end"/>
      </w:r>
      <w:r>
        <w:fldChar w:fldCharType="end"/>
      </w:r>
    </w:p>
    <w:p w14:paraId="7C62350E">
      <w:pPr>
        <w:pStyle w:val="11"/>
        <w:tabs>
          <w:tab w:val="right" w:leader="dot" w:pos="8300"/>
        </w:tabs>
        <w:spacing w:line="360" w:lineRule="auto"/>
      </w:pPr>
      <w:r>
        <w:fldChar w:fldCharType="begin"/>
      </w:r>
      <w:r>
        <w:instrText xml:space="preserve"> HYPERLINK \l "_Toc18606" </w:instrText>
      </w:r>
      <w:r>
        <w:fldChar w:fldCharType="separate"/>
      </w:r>
      <w:r>
        <w:rPr>
          <w:rFonts w:hint="eastAsia" w:ascii="方正仿宋_GB2312" w:hAnsi="方正仿宋_GB2312" w:eastAsia="方正仿宋_GB2312" w:cs="方正仿宋_GB2312"/>
          <w:bCs/>
          <w:kern w:val="0"/>
          <w:szCs w:val="28"/>
        </w:rPr>
        <w:t>（一）科学编制预算，强化预算执行监控</w:t>
      </w:r>
      <w:r>
        <w:tab/>
      </w:r>
      <w:r>
        <w:fldChar w:fldCharType="begin"/>
      </w:r>
      <w:r>
        <w:instrText xml:space="preserve"> PAGEREF _Toc18606 \h </w:instrText>
      </w:r>
      <w:r>
        <w:fldChar w:fldCharType="separate"/>
      </w:r>
      <w:r>
        <w:t>12</w:t>
      </w:r>
      <w:r>
        <w:fldChar w:fldCharType="end"/>
      </w:r>
      <w:r>
        <w:fldChar w:fldCharType="end"/>
      </w:r>
    </w:p>
    <w:p w14:paraId="5E9A5EEF">
      <w:pPr>
        <w:pStyle w:val="11"/>
        <w:tabs>
          <w:tab w:val="right" w:leader="dot" w:pos="8300"/>
        </w:tabs>
        <w:spacing w:line="360" w:lineRule="auto"/>
      </w:pPr>
      <w:r>
        <w:fldChar w:fldCharType="begin"/>
      </w:r>
      <w:r>
        <w:instrText xml:space="preserve"> HYPERLINK \l "_Toc21861" </w:instrText>
      </w:r>
      <w:r>
        <w:fldChar w:fldCharType="separate"/>
      </w:r>
      <w:r>
        <w:rPr>
          <w:rFonts w:hint="eastAsia" w:ascii="方正仿宋_GB2312" w:hAnsi="方正仿宋_GB2312" w:eastAsia="方正仿宋_GB2312" w:cs="方正仿宋_GB2312"/>
          <w:bCs/>
          <w:kern w:val="0"/>
          <w:szCs w:val="28"/>
        </w:rPr>
        <w:t>（二）建立长效机制，提高资产利用率</w:t>
      </w:r>
      <w:r>
        <w:tab/>
      </w:r>
      <w:r>
        <w:fldChar w:fldCharType="begin"/>
      </w:r>
      <w:r>
        <w:instrText xml:space="preserve"> PAGEREF _Toc21861 \h </w:instrText>
      </w:r>
      <w:r>
        <w:fldChar w:fldCharType="separate"/>
      </w:r>
      <w:r>
        <w:t>12</w:t>
      </w:r>
      <w:r>
        <w:fldChar w:fldCharType="end"/>
      </w:r>
      <w:r>
        <w:fldChar w:fldCharType="end"/>
      </w:r>
    </w:p>
    <w:p w14:paraId="6338D29C">
      <w:pPr>
        <w:pStyle w:val="11"/>
        <w:tabs>
          <w:tab w:val="right" w:leader="dot" w:pos="8300"/>
        </w:tabs>
        <w:spacing w:line="360" w:lineRule="auto"/>
      </w:pPr>
      <w:r>
        <w:fldChar w:fldCharType="begin"/>
      </w:r>
      <w:r>
        <w:instrText xml:space="preserve"> HYPERLINK \l "_Toc30537" </w:instrText>
      </w:r>
      <w:r>
        <w:fldChar w:fldCharType="separate"/>
      </w:r>
      <w:r>
        <w:rPr>
          <w:rFonts w:hint="eastAsia" w:ascii="方正仿宋_GB2312" w:hAnsi="方正仿宋_GB2312" w:eastAsia="方正仿宋_GB2312" w:cs="方正仿宋_GB2312"/>
          <w:bCs/>
          <w:kern w:val="0"/>
          <w:szCs w:val="28"/>
        </w:rPr>
        <w:t>（三）健全人才培养机制，加强人才队伍建设</w:t>
      </w:r>
      <w:r>
        <w:tab/>
      </w:r>
      <w:r>
        <w:fldChar w:fldCharType="begin"/>
      </w:r>
      <w:r>
        <w:instrText xml:space="preserve"> PAGEREF _Toc30537 \h </w:instrText>
      </w:r>
      <w:r>
        <w:fldChar w:fldCharType="separate"/>
      </w:r>
      <w:r>
        <w:t>13</w:t>
      </w:r>
      <w:r>
        <w:fldChar w:fldCharType="end"/>
      </w:r>
      <w:r>
        <w:fldChar w:fldCharType="end"/>
      </w:r>
    </w:p>
    <w:p w14:paraId="15F49812">
      <w:pPr>
        <w:pStyle w:val="10"/>
        <w:tabs>
          <w:tab w:val="right" w:leader="dot" w:pos="8300"/>
        </w:tabs>
        <w:spacing w:line="360" w:lineRule="auto"/>
      </w:pPr>
      <w:r>
        <w:fldChar w:fldCharType="begin"/>
      </w:r>
      <w:r>
        <w:instrText xml:space="preserve"> HYPERLINK \l "_Toc2224" </w:instrText>
      </w:r>
      <w:r>
        <w:fldChar w:fldCharType="separate"/>
      </w:r>
      <w:r>
        <w:rPr>
          <w:rFonts w:hint="eastAsia" w:ascii="方正仿宋_GB2312" w:hAnsi="方正仿宋_GB2312" w:eastAsia="方正仿宋_GB2312" w:cs="方正仿宋_GB2312"/>
          <w:bCs/>
          <w:kern w:val="0"/>
          <w:szCs w:val="28"/>
        </w:rPr>
        <w:t>六、评价工作开展情况及其他需说明的情况</w:t>
      </w:r>
      <w:r>
        <w:tab/>
      </w:r>
      <w:r>
        <w:fldChar w:fldCharType="begin"/>
      </w:r>
      <w:r>
        <w:instrText xml:space="preserve"> PAGEREF _Toc2224 \h </w:instrText>
      </w:r>
      <w:r>
        <w:fldChar w:fldCharType="separate"/>
      </w:r>
      <w:r>
        <w:t>13</w:t>
      </w:r>
      <w:r>
        <w:fldChar w:fldCharType="end"/>
      </w:r>
      <w:r>
        <w:fldChar w:fldCharType="end"/>
      </w:r>
    </w:p>
    <w:p w14:paraId="637AA581">
      <w:pPr>
        <w:pStyle w:val="11"/>
        <w:tabs>
          <w:tab w:val="right" w:leader="dot" w:pos="8300"/>
        </w:tabs>
        <w:spacing w:line="360" w:lineRule="auto"/>
      </w:pPr>
      <w:r>
        <w:fldChar w:fldCharType="begin"/>
      </w:r>
      <w:r>
        <w:instrText xml:space="preserve"> HYPERLINK \l "_Toc16821" </w:instrText>
      </w:r>
      <w:r>
        <w:fldChar w:fldCharType="separate"/>
      </w:r>
      <w:r>
        <w:rPr>
          <w:rFonts w:hint="eastAsia" w:ascii="方正仿宋_GB2312" w:hAnsi="方正仿宋_GB2312" w:eastAsia="方正仿宋_GB2312" w:cs="方正仿宋_GB2312"/>
          <w:bCs/>
          <w:kern w:val="0"/>
          <w:szCs w:val="28"/>
        </w:rPr>
        <w:t>（一）评价目的</w:t>
      </w:r>
      <w:r>
        <w:tab/>
      </w:r>
      <w:r>
        <w:fldChar w:fldCharType="begin"/>
      </w:r>
      <w:r>
        <w:instrText xml:space="preserve"> PAGEREF _Toc16821 \h </w:instrText>
      </w:r>
      <w:r>
        <w:fldChar w:fldCharType="separate"/>
      </w:r>
      <w:r>
        <w:t>13</w:t>
      </w:r>
      <w:r>
        <w:fldChar w:fldCharType="end"/>
      </w:r>
      <w:r>
        <w:fldChar w:fldCharType="end"/>
      </w:r>
    </w:p>
    <w:p w14:paraId="732C4431">
      <w:pPr>
        <w:pStyle w:val="11"/>
        <w:tabs>
          <w:tab w:val="right" w:leader="dot" w:pos="8300"/>
        </w:tabs>
        <w:spacing w:line="360" w:lineRule="auto"/>
      </w:pPr>
      <w:r>
        <w:fldChar w:fldCharType="begin"/>
      </w:r>
      <w:r>
        <w:instrText xml:space="preserve"> HYPERLINK \l "_Toc6056" </w:instrText>
      </w:r>
      <w:r>
        <w:fldChar w:fldCharType="separate"/>
      </w:r>
      <w:r>
        <w:rPr>
          <w:rFonts w:hint="eastAsia" w:ascii="方正仿宋_GB2312" w:hAnsi="方正仿宋_GB2312" w:eastAsia="方正仿宋_GB2312" w:cs="方正仿宋_GB2312"/>
          <w:bCs/>
          <w:kern w:val="0"/>
          <w:szCs w:val="28"/>
        </w:rPr>
        <w:t>（二）评价依据</w:t>
      </w:r>
      <w:r>
        <w:tab/>
      </w:r>
      <w:r>
        <w:fldChar w:fldCharType="begin"/>
      </w:r>
      <w:r>
        <w:instrText xml:space="preserve"> PAGEREF _Toc6056 \h </w:instrText>
      </w:r>
      <w:r>
        <w:fldChar w:fldCharType="separate"/>
      </w:r>
      <w:r>
        <w:t>14</w:t>
      </w:r>
      <w:r>
        <w:fldChar w:fldCharType="end"/>
      </w:r>
      <w:r>
        <w:fldChar w:fldCharType="end"/>
      </w:r>
    </w:p>
    <w:p w14:paraId="0440EF16">
      <w:pPr>
        <w:pStyle w:val="11"/>
        <w:tabs>
          <w:tab w:val="right" w:leader="dot" w:pos="8300"/>
        </w:tabs>
        <w:spacing w:line="360" w:lineRule="auto"/>
      </w:pPr>
      <w:r>
        <w:fldChar w:fldCharType="begin"/>
      </w:r>
      <w:r>
        <w:instrText xml:space="preserve"> HYPERLINK \l "_Toc30908" </w:instrText>
      </w:r>
      <w:r>
        <w:fldChar w:fldCharType="separate"/>
      </w:r>
      <w:r>
        <w:rPr>
          <w:rFonts w:hint="eastAsia" w:ascii="方正仿宋_GB2312" w:hAnsi="方正仿宋_GB2312" w:eastAsia="方正仿宋_GB2312" w:cs="方正仿宋_GB2312"/>
          <w:bCs/>
          <w:kern w:val="0"/>
          <w:szCs w:val="28"/>
        </w:rPr>
        <w:t>（三）评价原则</w:t>
      </w:r>
      <w:r>
        <w:tab/>
      </w:r>
      <w:r>
        <w:fldChar w:fldCharType="begin"/>
      </w:r>
      <w:r>
        <w:instrText xml:space="preserve"> PAGEREF _Toc30908 \h </w:instrText>
      </w:r>
      <w:r>
        <w:fldChar w:fldCharType="separate"/>
      </w:r>
      <w:r>
        <w:t>14</w:t>
      </w:r>
      <w:r>
        <w:fldChar w:fldCharType="end"/>
      </w:r>
      <w:r>
        <w:fldChar w:fldCharType="end"/>
      </w:r>
    </w:p>
    <w:p w14:paraId="4A20C608">
      <w:pPr>
        <w:pStyle w:val="11"/>
        <w:tabs>
          <w:tab w:val="right" w:leader="dot" w:pos="8300"/>
        </w:tabs>
        <w:spacing w:line="360" w:lineRule="auto"/>
      </w:pPr>
      <w:r>
        <w:fldChar w:fldCharType="begin"/>
      </w:r>
      <w:r>
        <w:instrText xml:space="preserve"> HYPERLINK \l "_Toc15080" </w:instrText>
      </w:r>
      <w:r>
        <w:fldChar w:fldCharType="separate"/>
      </w:r>
      <w:r>
        <w:rPr>
          <w:rFonts w:hint="eastAsia" w:ascii="方正仿宋_GB2312" w:hAnsi="方正仿宋_GB2312" w:eastAsia="方正仿宋_GB2312" w:cs="方正仿宋_GB2312"/>
          <w:bCs/>
          <w:kern w:val="0"/>
          <w:szCs w:val="28"/>
        </w:rPr>
        <w:t>（四）评价指标体系</w:t>
      </w:r>
      <w:r>
        <w:tab/>
      </w:r>
      <w:r>
        <w:fldChar w:fldCharType="begin"/>
      </w:r>
      <w:r>
        <w:instrText xml:space="preserve"> PAGEREF _Toc15080 \h </w:instrText>
      </w:r>
      <w:r>
        <w:fldChar w:fldCharType="separate"/>
      </w:r>
      <w:r>
        <w:t>14</w:t>
      </w:r>
      <w:r>
        <w:fldChar w:fldCharType="end"/>
      </w:r>
      <w:r>
        <w:fldChar w:fldCharType="end"/>
      </w:r>
    </w:p>
    <w:p w14:paraId="6659ECBB">
      <w:pPr>
        <w:pStyle w:val="11"/>
        <w:tabs>
          <w:tab w:val="right" w:leader="dot" w:pos="8300"/>
        </w:tabs>
        <w:spacing w:line="360" w:lineRule="auto"/>
      </w:pPr>
      <w:r>
        <w:fldChar w:fldCharType="begin"/>
      </w:r>
      <w:r>
        <w:instrText xml:space="preserve"> HYPERLINK \l "_Toc22944" </w:instrText>
      </w:r>
      <w:r>
        <w:fldChar w:fldCharType="separate"/>
      </w:r>
      <w:r>
        <w:rPr>
          <w:rFonts w:hint="eastAsia" w:ascii="方正仿宋_GB2312" w:hAnsi="方正仿宋_GB2312" w:eastAsia="方正仿宋_GB2312" w:cs="方正仿宋_GB2312"/>
          <w:szCs w:val="28"/>
        </w:rPr>
        <w:t>附件：《2024年度南京市节能技术服务中心部门整体绩效自评价表》</w:t>
      </w:r>
      <w:r>
        <w:tab/>
      </w:r>
      <w:r>
        <w:fldChar w:fldCharType="begin"/>
      </w:r>
      <w:r>
        <w:instrText xml:space="preserve"> PAGEREF _Toc22944 \h </w:instrText>
      </w:r>
      <w:r>
        <w:fldChar w:fldCharType="separate"/>
      </w:r>
      <w:r>
        <w:t>15</w:t>
      </w:r>
      <w:r>
        <w:fldChar w:fldCharType="end"/>
      </w:r>
      <w:r>
        <w:fldChar w:fldCharType="end"/>
      </w:r>
    </w:p>
    <w:p w14:paraId="22DBBB3F">
      <w:pPr>
        <w:spacing w:line="360" w:lineRule="auto"/>
        <w:rPr>
          <w:rStyle w:val="22"/>
          <w:rFonts w:hint="eastAsia" w:ascii="方正仿宋_GB2312" w:hAnsi="方正仿宋_GB2312" w:eastAsia="方正仿宋_GB2312" w:cs="方正仿宋_GB2312"/>
          <w:b/>
          <w:bCs/>
          <w:szCs w:val="21"/>
        </w:rPr>
        <w:sectPr>
          <w:footerReference r:id="rId5" w:type="default"/>
          <w:pgSz w:w="11906" w:h="16838"/>
          <w:pgMar w:top="1440" w:right="1803" w:bottom="1440" w:left="1803" w:header="851" w:footer="992" w:gutter="0"/>
          <w:pgNumType w:start="1"/>
          <w:cols w:space="0" w:num="1"/>
          <w:docGrid w:type="lines" w:linePitch="312" w:charSpace="0"/>
        </w:sectPr>
      </w:pPr>
      <w:r>
        <w:rPr>
          <w:rFonts w:hint="eastAsia" w:ascii="方正仿宋_GB2312" w:hAnsi="方正仿宋_GB2312" w:eastAsia="方正仿宋_GB2312" w:cs="方正仿宋_GB2312"/>
          <w:color w:val="000000"/>
          <w:szCs w:val="21"/>
          <w:lang w:val="zh-CN"/>
        </w:rPr>
        <w:fldChar w:fldCharType="end"/>
      </w:r>
    </w:p>
    <w:p w14:paraId="62AB1648">
      <w:pPr>
        <w:spacing w:line="560" w:lineRule="exact"/>
        <w:ind w:firstLine="560" w:firstLineChars="200"/>
        <w:rPr>
          <w:rFonts w:hint="eastAsia" w:ascii="方正仿宋_GB2312" w:hAnsi="方正仿宋_GB2312" w:eastAsia="方正仿宋_GB2312" w:cs="方正仿宋_GB2312"/>
          <w:bCs/>
          <w:color w:val="000000"/>
          <w:sz w:val="28"/>
          <w:szCs w:val="28"/>
        </w:rPr>
      </w:pPr>
      <w:bookmarkStart w:id="0" w:name="_Toc113465512"/>
      <w:r>
        <w:rPr>
          <w:rFonts w:hint="eastAsia" w:ascii="方正仿宋_GB2312" w:hAnsi="方正仿宋_GB2312" w:eastAsia="方正仿宋_GB2312" w:cs="方正仿宋_GB2312"/>
          <w:bCs/>
          <w:color w:val="000000"/>
          <w:sz w:val="28"/>
          <w:szCs w:val="28"/>
        </w:rPr>
        <w:t>为认真贯彻《中共中央 国务院关于全面实施预算绩效管理的意见》（中发〔2018〕34号），进一步提高预算透明度，强化社会监督，增进财政资金使用效率及效益，根据《南京市市级预算绩效管理办法》(宁委办厅字〔2024〕2号)、《关于开展2025年度预算绩效信息公开工作的通知》（宁财绩〔2025〕41号）《关于印发2025年南京市市级预算部门(单位)预算绩效管理责任清单的通知》（宁财绩〔2025〕106号）要求，通过前期准备、数据采集与核查、综合分析等阶段工作，结合2024年度绩效目标申报表，形成自评价指标体系得分情况表（详见附件），并对2024年度部门整体绩效自评价如下：</w:t>
      </w:r>
    </w:p>
    <w:p w14:paraId="5882C36A">
      <w:pPr>
        <w:spacing w:line="560" w:lineRule="exact"/>
        <w:ind w:firstLine="562" w:firstLineChars="200"/>
        <w:outlineLvl w:val="0"/>
        <w:rPr>
          <w:rFonts w:hint="eastAsia" w:ascii="方正仿宋_GB2312" w:hAnsi="方正仿宋_GB2312" w:eastAsia="方正仿宋_GB2312" w:cs="方正仿宋_GB2312"/>
          <w:b/>
          <w:bCs/>
          <w:color w:val="000000"/>
          <w:kern w:val="0"/>
          <w:sz w:val="28"/>
          <w:szCs w:val="28"/>
        </w:rPr>
      </w:pPr>
      <w:bookmarkStart w:id="1" w:name="_Toc4913"/>
      <w:r>
        <w:rPr>
          <w:rFonts w:hint="eastAsia" w:ascii="方正仿宋_GB2312" w:hAnsi="方正仿宋_GB2312" w:eastAsia="方正仿宋_GB2312" w:cs="方正仿宋_GB2312"/>
          <w:b/>
          <w:bCs/>
          <w:color w:val="000000"/>
          <w:kern w:val="0"/>
          <w:sz w:val="28"/>
          <w:szCs w:val="28"/>
        </w:rPr>
        <w:t>一、单位概况</w:t>
      </w:r>
      <w:bookmarkEnd w:id="0"/>
      <w:bookmarkEnd w:id="1"/>
    </w:p>
    <w:p w14:paraId="2B8F8BA1">
      <w:pPr>
        <w:spacing w:line="560" w:lineRule="exact"/>
        <w:ind w:firstLine="562" w:firstLineChars="200"/>
        <w:outlineLvl w:val="1"/>
        <w:rPr>
          <w:rFonts w:hint="eastAsia" w:ascii="方正仿宋_GB2312" w:hAnsi="方正仿宋_GB2312" w:eastAsia="方正仿宋_GB2312" w:cs="方正仿宋_GB2312"/>
          <w:b/>
          <w:bCs/>
          <w:sz w:val="28"/>
          <w:szCs w:val="28"/>
        </w:rPr>
      </w:pPr>
      <w:bookmarkStart w:id="2" w:name="_Toc113465513"/>
      <w:bookmarkStart w:id="3" w:name="_Toc21268"/>
      <w:r>
        <w:rPr>
          <w:rFonts w:hint="eastAsia" w:ascii="方正仿宋_GB2312" w:hAnsi="方正仿宋_GB2312" w:eastAsia="方正仿宋_GB2312" w:cs="方正仿宋_GB2312"/>
          <w:b/>
          <w:bCs/>
          <w:kern w:val="0"/>
          <w:sz w:val="28"/>
          <w:szCs w:val="28"/>
        </w:rPr>
        <w:t>（</w:t>
      </w:r>
      <w:r>
        <w:rPr>
          <w:rFonts w:hint="eastAsia" w:ascii="方正仿宋_GB2312" w:hAnsi="方正仿宋_GB2312" w:eastAsia="方正仿宋_GB2312" w:cs="方正仿宋_GB2312"/>
          <w:b/>
          <w:bCs/>
          <w:sz w:val="28"/>
          <w:szCs w:val="28"/>
        </w:rPr>
        <w:t>一）基本情况</w:t>
      </w:r>
      <w:bookmarkEnd w:id="2"/>
      <w:bookmarkEnd w:id="3"/>
    </w:p>
    <w:p w14:paraId="3CEC7C53">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1.单位性质</w:t>
      </w:r>
    </w:p>
    <w:p w14:paraId="576A5803">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南京市节能技术服务中心，是南京市工业和信息化局直属差额拨款事业单位，为公益二类事业单位，主要履行开展用能单位节能技术服务职责。</w:t>
      </w:r>
    </w:p>
    <w:p w14:paraId="25BF5F75">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2.单位职责</w:t>
      </w:r>
      <w:r>
        <w:rPr>
          <w:rFonts w:hint="eastAsia" w:ascii="方正仿宋_GB2312" w:hAnsi="方正仿宋_GB2312" w:eastAsia="方正仿宋_GB2312" w:cs="方正仿宋_GB2312"/>
          <w:sz w:val="28"/>
          <w:szCs w:val="28"/>
        </w:rPr>
        <w:tab/>
      </w:r>
    </w:p>
    <w:p w14:paraId="39BDC25A">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南京市节能技术服务中心受行政机关委托，负责协助参与政策研究、规划编制和标准制定、节能技术服务、节能宣传、培训和技术推广等工作。主要职责如下：</w:t>
      </w:r>
    </w:p>
    <w:p w14:paraId="3FD5CF09">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（1）协助政府主管部门开展资（能）源节约、循环经济等战略、规划、法规和政策研究；</w:t>
      </w:r>
    </w:p>
    <w:p w14:paraId="08746C08">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（2）组织实施政府委托的节能、资源综合利用、新能源和可再生能源等领域示范工程和课题研究；</w:t>
      </w:r>
    </w:p>
    <w:p w14:paraId="756127A0">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（3）组织开展节能新技术、新产品和新机制推广；</w:t>
      </w:r>
    </w:p>
    <w:p w14:paraId="2B3A1239">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（4）组织开展节能宣传、培训及信息传播；</w:t>
      </w:r>
    </w:p>
    <w:p w14:paraId="6DD9DA2A">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（5）为企事业单位提供能源审计、清洁生产审核、节能诊断、能耗检测、燃料检测、建材产品废渣掺量检测、节能评估等的技术支持。</w:t>
      </w:r>
    </w:p>
    <w:p w14:paraId="599365B5">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3.内设机构</w:t>
      </w:r>
      <w:r>
        <w:rPr>
          <w:rFonts w:hint="eastAsia" w:ascii="方正仿宋_GB2312" w:hAnsi="方正仿宋_GB2312" w:eastAsia="方正仿宋_GB2312" w:cs="方正仿宋_GB2312"/>
          <w:sz w:val="28"/>
          <w:szCs w:val="28"/>
        </w:rPr>
        <w:tab/>
      </w:r>
    </w:p>
    <w:p w14:paraId="06B1B2B0">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中心下设办公室(培训部、信息传播部)、技术服务部、检测部、审核部(总师办、市场开发部)四个部门。</w:t>
      </w:r>
    </w:p>
    <w:p w14:paraId="6A20CCEC">
      <w:pPr>
        <w:tabs>
          <w:tab w:val="left" w:pos="624"/>
          <w:tab w:val="left" w:pos="669"/>
        </w:tabs>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4.人员构成情况</w:t>
      </w:r>
    </w:p>
    <w:p w14:paraId="0762626A">
      <w:pPr>
        <w:tabs>
          <w:tab w:val="left" w:pos="624"/>
          <w:tab w:val="left" w:pos="669"/>
        </w:tabs>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本年度，共有在职人员35人，其中在编人员26人，编外辅助员额9人。</w:t>
      </w:r>
    </w:p>
    <w:p w14:paraId="64662677">
      <w:pPr>
        <w:tabs>
          <w:tab w:val="left" w:pos="624"/>
          <w:tab w:val="left" w:pos="669"/>
        </w:tabs>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5.中心资产、负债情况及固定资产情况</w:t>
      </w:r>
    </w:p>
    <w:p w14:paraId="3DDE98A5">
      <w:pPr>
        <w:pStyle w:val="23"/>
        <w:tabs>
          <w:tab w:val="right" w:leader="dot" w:pos="8959"/>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2024年末资产总额6,729.49万元；负债总额68.18万元；净资产总额6,661.31万元。</w:t>
      </w:r>
    </w:p>
    <w:p w14:paraId="1F92BD9F">
      <w:pPr>
        <w:pStyle w:val="23"/>
        <w:tabs>
          <w:tab w:val="right" w:leader="dot" w:pos="8959"/>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2024年末固定资产原值为2,949.04万元,累计折旧2,101.30万元，固定资产净值847.74万元。</w:t>
      </w:r>
    </w:p>
    <w:p w14:paraId="5B8141C5">
      <w:pPr>
        <w:tabs>
          <w:tab w:val="left" w:pos="624"/>
          <w:tab w:val="left" w:pos="669"/>
        </w:tabs>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6.重点工作任务</w:t>
      </w:r>
    </w:p>
    <w:p w14:paraId="08C50793">
      <w:pPr>
        <w:pStyle w:val="23"/>
        <w:tabs>
          <w:tab w:val="right" w:leader="dot" w:pos="8959"/>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2024年度重点工作任务包括：（1）协助节能主管部门</w:t>
      </w:r>
      <w:r>
        <w:rPr>
          <w:rFonts w:hint="eastAsia" w:ascii="方正仿宋_GB2312" w:hAnsi="方正仿宋_GB2312" w:eastAsia="方正仿宋_GB2312" w:cs="方正仿宋_GB2312"/>
          <w:sz w:val="28"/>
          <w:szCs w:val="28"/>
          <w:highlight w:val="none"/>
        </w:rPr>
        <w:t>开展节能低碳政策、标准等研究并全力做好固定资产投资项目节能评审和重点用能单位能效水平评估；（2）为用能单位提供节能诊断、能源审计</w:t>
      </w:r>
      <w:r>
        <w:rPr>
          <w:rFonts w:hint="eastAsia" w:ascii="方正仿宋_GB2312" w:hAnsi="方正仿宋_GB2312" w:eastAsia="方正仿宋_GB2312" w:cs="方正仿宋_GB2312"/>
          <w:sz w:val="28"/>
          <w:szCs w:val="28"/>
        </w:rPr>
        <w:t>等技术支持，协助用能单位（园区）创建绿色工厂（绿色产品、绿色供应链、绿色园区）；（3）节能宣传周期间，围绕“六个一”开展系列节能宣传活动；日常借助期刊、网站等载体开展节能公益宣传；（4）对全市用能单位能管人员开展节能业务培训；（5）组织节能技术解决方案供应商和用能单位开展供需对接活动，推广节能新技术和新产品。</w:t>
      </w:r>
    </w:p>
    <w:p w14:paraId="09C04030">
      <w:pPr>
        <w:spacing w:line="560" w:lineRule="exact"/>
        <w:ind w:firstLine="562" w:firstLineChars="200"/>
        <w:outlineLvl w:val="1"/>
        <w:rPr>
          <w:rFonts w:hint="eastAsia" w:ascii="方正仿宋_GB2312" w:hAnsi="方正仿宋_GB2312" w:eastAsia="方正仿宋_GB2312" w:cs="方正仿宋_GB2312"/>
          <w:b/>
          <w:bCs/>
          <w:sz w:val="28"/>
          <w:szCs w:val="28"/>
        </w:rPr>
      </w:pPr>
      <w:bookmarkStart w:id="4" w:name="_Toc16041"/>
      <w:bookmarkStart w:id="5" w:name="_Toc113465514"/>
      <w:r>
        <w:rPr>
          <w:rFonts w:hint="eastAsia" w:ascii="方正仿宋_GB2312" w:hAnsi="方正仿宋_GB2312" w:eastAsia="方正仿宋_GB2312" w:cs="方正仿宋_GB2312"/>
          <w:b/>
          <w:bCs/>
          <w:kern w:val="0"/>
          <w:sz w:val="28"/>
          <w:szCs w:val="28"/>
        </w:rPr>
        <w:t>（二</w:t>
      </w:r>
      <w:r>
        <w:rPr>
          <w:rFonts w:hint="eastAsia" w:ascii="方正仿宋_GB2312" w:hAnsi="方正仿宋_GB2312" w:eastAsia="方正仿宋_GB2312" w:cs="方正仿宋_GB2312"/>
          <w:b/>
          <w:bCs/>
          <w:sz w:val="28"/>
          <w:szCs w:val="28"/>
        </w:rPr>
        <w:t>）单位资金情况</w:t>
      </w:r>
      <w:bookmarkEnd w:id="4"/>
    </w:p>
    <w:bookmarkEnd w:id="5"/>
    <w:p w14:paraId="2F6B243D">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1.部门收支情况</w:t>
      </w:r>
    </w:p>
    <w:p w14:paraId="3C5A17D8">
      <w:pPr>
        <w:adjustRightInd w:val="0"/>
        <w:snapToGrid w:val="0"/>
        <w:spacing w:line="560" w:lineRule="exact"/>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2024年，中心收入预算数1,436.09万元，预算调整数357.01万元，决算数1,793.10万元；支出预算数1,436.09万元，预算调整数213.58万元,决算数1,649.67万元，结余分配11.20万元；上年结转和结余4,203.68万元，年末结转和结余4,335.91万元；预算执行率为100%。</w:t>
      </w:r>
      <w:r>
        <w:rPr>
          <w:rFonts w:hint="eastAsia" w:ascii="方正仿宋_GB2312" w:hAnsi="方正仿宋_GB2312" w:eastAsia="方正仿宋_GB2312" w:cs="方正仿宋_GB2312"/>
          <w:color w:val="000000"/>
          <w:sz w:val="28"/>
          <w:szCs w:val="28"/>
        </w:rPr>
        <w:t>详情见表1。</w:t>
      </w:r>
    </w:p>
    <w:p w14:paraId="67519195">
      <w:pPr>
        <w:spacing w:line="560" w:lineRule="exact"/>
        <w:jc w:val="center"/>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表1  2024年节能中心预算安排与支出情况</w:t>
      </w:r>
    </w:p>
    <w:p w14:paraId="3F4AF259">
      <w:pPr>
        <w:spacing w:line="560" w:lineRule="exact"/>
        <w:ind w:right="633"/>
        <w:jc w:val="right"/>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b/>
          <w:color w:val="000000"/>
          <w:sz w:val="24"/>
        </w:rPr>
        <w:t xml:space="preserve">  </w:t>
      </w:r>
      <w:r>
        <w:rPr>
          <w:rFonts w:hint="eastAsia" w:ascii="方正仿宋_GB2312" w:hAnsi="方正仿宋_GB2312" w:eastAsia="方正仿宋_GB2312" w:cs="方正仿宋_GB2312"/>
          <w:color w:val="000000"/>
          <w:sz w:val="24"/>
        </w:rPr>
        <w:t xml:space="preserve"> 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932"/>
        <w:gridCol w:w="1872"/>
        <w:gridCol w:w="1616"/>
        <w:gridCol w:w="1783"/>
      </w:tblGrid>
      <w:tr w14:paraId="102E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773" w:type="pct"/>
            <w:noWrap/>
            <w:vAlign w:val="center"/>
          </w:tcPr>
          <w:p w14:paraId="3940056B">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支出类别</w:t>
            </w:r>
          </w:p>
        </w:tc>
        <w:tc>
          <w:tcPr>
            <w:tcW w:w="1136" w:type="pct"/>
            <w:noWrap/>
            <w:vAlign w:val="center"/>
          </w:tcPr>
          <w:p w14:paraId="681C9F7A">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年初预算数</w:t>
            </w:r>
          </w:p>
        </w:tc>
        <w:tc>
          <w:tcPr>
            <w:tcW w:w="1101" w:type="pct"/>
            <w:noWrap/>
            <w:vAlign w:val="center"/>
          </w:tcPr>
          <w:p w14:paraId="2D1F01B5">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调整后预算数</w:t>
            </w:r>
          </w:p>
        </w:tc>
        <w:tc>
          <w:tcPr>
            <w:tcW w:w="939" w:type="pct"/>
            <w:noWrap/>
            <w:vAlign w:val="center"/>
          </w:tcPr>
          <w:p w14:paraId="1991564C">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实际支出数</w:t>
            </w:r>
          </w:p>
        </w:tc>
        <w:tc>
          <w:tcPr>
            <w:tcW w:w="1049" w:type="pct"/>
            <w:noWrap/>
            <w:vAlign w:val="center"/>
          </w:tcPr>
          <w:p w14:paraId="77A85768">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预算执行率</w:t>
            </w:r>
          </w:p>
        </w:tc>
      </w:tr>
      <w:tr w14:paraId="0D4D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pct"/>
            <w:noWrap/>
            <w:vAlign w:val="center"/>
          </w:tcPr>
          <w:p w14:paraId="53C16BD5">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基本支出</w:t>
            </w:r>
          </w:p>
        </w:tc>
        <w:tc>
          <w:tcPr>
            <w:tcW w:w="1136" w:type="pct"/>
            <w:noWrap/>
            <w:vAlign w:val="center"/>
          </w:tcPr>
          <w:p w14:paraId="3E52AB30">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1,435.53 </w:t>
            </w:r>
          </w:p>
        </w:tc>
        <w:tc>
          <w:tcPr>
            <w:tcW w:w="1101" w:type="pct"/>
            <w:noWrap/>
          </w:tcPr>
          <w:p w14:paraId="047E1DFE">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1,647.60 </w:t>
            </w:r>
          </w:p>
        </w:tc>
        <w:tc>
          <w:tcPr>
            <w:tcW w:w="1616" w:type="dxa"/>
            <w:noWrap/>
          </w:tcPr>
          <w:p w14:paraId="75514CAC">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1,647.60 </w:t>
            </w:r>
          </w:p>
        </w:tc>
        <w:tc>
          <w:tcPr>
            <w:tcW w:w="1049" w:type="pct"/>
            <w:noWrap/>
          </w:tcPr>
          <w:p w14:paraId="4AF7538D">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r w14:paraId="7CF2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3" w:type="pct"/>
            <w:noWrap/>
            <w:vAlign w:val="center"/>
          </w:tcPr>
          <w:p w14:paraId="63B04B04">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项目支出</w:t>
            </w:r>
          </w:p>
        </w:tc>
        <w:tc>
          <w:tcPr>
            <w:tcW w:w="1136" w:type="pct"/>
            <w:noWrap/>
            <w:vAlign w:val="center"/>
          </w:tcPr>
          <w:p w14:paraId="7D3AC9F7">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0.56 </w:t>
            </w:r>
          </w:p>
        </w:tc>
        <w:tc>
          <w:tcPr>
            <w:tcW w:w="1101" w:type="pct"/>
            <w:noWrap/>
          </w:tcPr>
          <w:p w14:paraId="5363100D">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2.07 </w:t>
            </w:r>
          </w:p>
        </w:tc>
        <w:tc>
          <w:tcPr>
            <w:tcW w:w="1616" w:type="dxa"/>
            <w:noWrap/>
          </w:tcPr>
          <w:p w14:paraId="1A6B9E5D">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2.07 </w:t>
            </w:r>
          </w:p>
        </w:tc>
        <w:tc>
          <w:tcPr>
            <w:tcW w:w="1049" w:type="pct"/>
            <w:noWrap/>
          </w:tcPr>
          <w:p w14:paraId="2DA70EE2">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r w14:paraId="5B24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3" w:type="pct"/>
            <w:vAlign w:val="center"/>
          </w:tcPr>
          <w:p w14:paraId="066F4F48">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合计</w:t>
            </w:r>
          </w:p>
        </w:tc>
        <w:tc>
          <w:tcPr>
            <w:tcW w:w="1136" w:type="pct"/>
            <w:noWrap/>
          </w:tcPr>
          <w:p w14:paraId="7741411D">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1,436.09 </w:t>
            </w:r>
          </w:p>
        </w:tc>
        <w:tc>
          <w:tcPr>
            <w:tcW w:w="1101" w:type="pct"/>
            <w:noWrap/>
          </w:tcPr>
          <w:p w14:paraId="1D6BEC13">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1,649.67 </w:t>
            </w:r>
          </w:p>
        </w:tc>
        <w:tc>
          <w:tcPr>
            <w:tcW w:w="1616" w:type="dxa"/>
            <w:noWrap/>
          </w:tcPr>
          <w:p w14:paraId="504C562A">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1,649.67 </w:t>
            </w:r>
          </w:p>
        </w:tc>
        <w:tc>
          <w:tcPr>
            <w:tcW w:w="1049" w:type="pct"/>
            <w:noWrap/>
          </w:tcPr>
          <w:p w14:paraId="1B926B1E">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bl>
    <w:p w14:paraId="130312CF">
      <w:pPr>
        <w:spacing w:line="560" w:lineRule="exact"/>
        <w:ind w:firstLine="560" w:firstLineChars="200"/>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color w:val="000000"/>
          <w:kern w:val="0"/>
          <w:sz w:val="28"/>
          <w:szCs w:val="28"/>
        </w:rPr>
        <w:t>三公</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rPr>
        <w:t>经费情况</w:t>
      </w:r>
    </w:p>
    <w:p w14:paraId="77F538C8">
      <w:pPr>
        <w:pStyle w:val="21"/>
        <w:widowControl w:val="0"/>
        <w:adjustRightInd w:val="0"/>
        <w:snapToGrid w:val="0"/>
        <w:spacing w:line="560" w:lineRule="exact"/>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2024年节能中心“三公”经费预算安排3.24万元</w:t>
      </w:r>
      <w:r>
        <w:rPr>
          <w:rFonts w:hint="eastAsia" w:ascii="方正仿宋_GB2312" w:hAnsi="方正仿宋_GB2312" w:eastAsia="方正仿宋_GB2312" w:cs="方正仿宋_GB2312"/>
          <w:sz w:val="28"/>
          <w:szCs w:val="28"/>
        </w:rPr>
        <w:t>、调减1.06万元，</w:t>
      </w:r>
      <w:r>
        <w:rPr>
          <w:rFonts w:hint="eastAsia" w:ascii="方正仿宋_GB2312" w:hAnsi="方正仿宋_GB2312" w:eastAsia="方正仿宋_GB2312" w:cs="方正仿宋_GB2312"/>
          <w:color w:val="000000"/>
          <w:sz w:val="28"/>
          <w:szCs w:val="28"/>
        </w:rPr>
        <w:t>主要原因是公务接待费较预算少0.92万元，无因公出国（境）费支出，决算支出数2.26</w:t>
      </w:r>
      <w:r>
        <w:rPr>
          <w:rFonts w:hint="eastAsia" w:ascii="方正仿宋_GB2312" w:hAnsi="方正仿宋_GB2312" w:eastAsia="方正仿宋_GB2312" w:cs="方正仿宋_GB2312"/>
          <w:sz w:val="28"/>
          <w:szCs w:val="28"/>
        </w:rPr>
        <w:t>万元</w:t>
      </w:r>
      <w:r>
        <w:rPr>
          <w:rFonts w:hint="eastAsia" w:ascii="方正仿宋_GB2312" w:hAnsi="方正仿宋_GB2312" w:eastAsia="方正仿宋_GB2312" w:cs="方正仿宋_GB2312"/>
          <w:color w:val="000000"/>
          <w:sz w:val="28"/>
          <w:szCs w:val="28"/>
        </w:rPr>
        <w:t>、预算执行率为100.00%。详情见表2</w:t>
      </w:r>
    </w:p>
    <w:p w14:paraId="15904998">
      <w:pPr>
        <w:spacing w:line="560" w:lineRule="exact"/>
        <w:jc w:val="center"/>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表2  2024年节能中心“三公”经费情况</w:t>
      </w:r>
    </w:p>
    <w:p w14:paraId="5B640649">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4"/>
        </w:rPr>
        <w:t>单位：万元</w:t>
      </w:r>
    </w:p>
    <w:tbl>
      <w:tblPr>
        <w:tblStyle w:val="15"/>
        <w:tblW w:w="4998" w:type="pct"/>
        <w:tblInd w:w="0" w:type="dxa"/>
        <w:tblLayout w:type="autofit"/>
        <w:tblCellMar>
          <w:top w:w="0" w:type="dxa"/>
          <w:left w:w="108" w:type="dxa"/>
          <w:bottom w:w="0" w:type="dxa"/>
          <w:right w:w="108" w:type="dxa"/>
        </w:tblCellMar>
      </w:tblPr>
      <w:tblGrid>
        <w:gridCol w:w="3096"/>
        <w:gridCol w:w="1416"/>
        <w:gridCol w:w="1656"/>
        <w:gridCol w:w="1153"/>
        <w:gridCol w:w="1192"/>
      </w:tblGrid>
      <w:tr w14:paraId="56F68E17">
        <w:tblPrEx>
          <w:tblCellMar>
            <w:top w:w="0" w:type="dxa"/>
            <w:left w:w="108" w:type="dxa"/>
            <w:bottom w:w="0" w:type="dxa"/>
            <w:right w:w="108" w:type="dxa"/>
          </w:tblCellMar>
        </w:tblPrEx>
        <w:trPr>
          <w:trHeight w:val="280" w:hRule="atLeast"/>
          <w:tblHeader/>
        </w:trPr>
        <w:tc>
          <w:tcPr>
            <w:tcW w:w="1818" w:type="pct"/>
            <w:tcBorders>
              <w:top w:val="single" w:color="000000" w:sz="4" w:space="0"/>
              <w:left w:val="single" w:color="000000" w:sz="4" w:space="0"/>
              <w:bottom w:val="single" w:color="000000" w:sz="4" w:space="0"/>
              <w:right w:val="single" w:color="000000" w:sz="4" w:space="0"/>
            </w:tcBorders>
            <w:noWrap/>
            <w:vAlign w:val="center"/>
          </w:tcPr>
          <w:p w14:paraId="275215F5">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项目</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3212003">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年初预算数</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8D5DBEB">
            <w:pPr>
              <w:jc w:val="center"/>
              <w:rPr>
                <w:rFonts w:hint="eastAsia" w:ascii="方正仿宋_GB2312" w:hAnsi="方正仿宋_GB2312" w:eastAsia="方正仿宋_GB2312" w:cs="方正仿宋_GB2312"/>
                <w:color w:val="000000"/>
                <w:kern w:val="0"/>
                <w:sz w:val="24"/>
                <w:lang w:bidi="ar"/>
              </w:rPr>
            </w:pPr>
            <w:r>
              <w:rPr>
                <w:rFonts w:hint="eastAsia" w:ascii="方正仿宋_GB2312" w:hAnsi="方正仿宋_GB2312" w:eastAsia="方正仿宋_GB2312" w:cs="方正仿宋_GB2312"/>
                <w:color w:val="000000"/>
                <w:sz w:val="24"/>
              </w:rPr>
              <w:t>调整后预算数</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F62B57D">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决算数</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8D964A3">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执行率</w:t>
            </w:r>
          </w:p>
        </w:tc>
      </w:tr>
      <w:tr w14:paraId="112971A3">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4BB5F021">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公务用车购置及运行维护费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DCA11C9">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2.24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C18FFCB">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2.18</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1619FC4B">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2.18</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7DF0924C">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r w14:paraId="6BAF2FA7">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7DF92FC9">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其中：公务用车购置费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BAB2D5A">
            <w:pPr>
              <w:rPr>
                <w:rFonts w:hint="eastAsia" w:ascii="方正仿宋_GB2312" w:hAnsi="方正仿宋_GB2312" w:eastAsia="方正仿宋_GB2312" w:cs="方正仿宋_GB2312"/>
                <w:color w:val="000000"/>
                <w:sz w:val="24"/>
              </w:rPr>
            </w:pP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0F7AEEF">
            <w:pPr>
              <w:rPr>
                <w:rFonts w:hint="eastAsia" w:ascii="方正仿宋_GB2312" w:hAnsi="方正仿宋_GB2312" w:eastAsia="方正仿宋_GB2312" w:cs="方正仿宋_GB2312"/>
                <w:color w:val="000000"/>
                <w:sz w:val="24"/>
              </w:rPr>
            </w:pP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48FEED7A">
            <w:pPr>
              <w:rPr>
                <w:rFonts w:hint="eastAsia" w:ascii="方正仿宋_GB2312" w:hAnsi="方正仿宋_GB2312" w:eastAsia="方正仿宋_GB2312" w:cs="方正仿宋_GB2312"/>
                <w:color w:val="000000"/>
                <w:sz w:val="24"/>
              </w:rPr>
            </w:pP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76E93550">
            <w:pPr>
              <w:rPr>
                <w:rFonts w:hint="eastAsia" w:ascii="方正仿宋_GB2312" w:hAnsi="方正仿宋_GB2312" w:eastAsia="方正仿宋_GB2312" w:cs="方正仿宋_GB2312"/>
                <w:color w:val="000000"/>
                <w:sz w:val="24"/>
              </w:rPr>
            </w:pPr>
          </w:p>
        </w:tc>
      </w:tr>
      <w:tr w14:paraId="61ADD622">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3AC40198">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公务用车运行维护费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0C7DFBAA">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2.24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82C5B42">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2.18</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8B5DD27">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2.18</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33F1E368">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r w14:paraId="3FF59BCB">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64FCCFE2">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公务接待费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1C002C4">
            <w:pPr>
              <w:jc w:val="right"/>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E370819">
            <w:pPr>
              <w:jc w:val="right"/>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0.08</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03E7A54">
            <w:pPr>
              <w:jc w:val="right"/>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0.08</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67E7BAC9">
            <w:pPr>
              <w:rPr>
                <w:rFonts w:hint="eastAsia" w:ascii="方正仿宋_GB2312" w:hAnsi="方正仿宋_GB2312" w:eastAsia="方正仿宋_GB2312" w:cs="方正仿宋_GB2312"/>
                <w:color w:val="000000"/>
                <w:sz w:val="24"/>
              </w:rPr>
            </w:pPr>
          </w:p>
        </w:tc>
      </w:tr>
      <w:tr w14:paraId="083DFAA4">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4C668E5E">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因公出国（境）费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5707AE7">
            <w:pPr>
              <w:widowControl/>
              <w:jc w:val="right"/>
              <w:textAlignment w:val="center"/>
              <w:rPr>
                <w:rFonts w:hint="eastAsia" w:ascii="方正仿宋_GB2312" w:hAnsi="方正仿宋_GB2312" w:eastAsia="方正仿宋_GB2312" w:cs="方正仿宋_GB2312"/>
                <w:color w:val="000000"/>
                <w:sz w:val="24"/>
              </w:rPr>
            </w:pP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7279FBA">
            <w:pPr>
              <w:widowControl/>
              <w:jc w:val="right"/>
              <w:textAlignment w:val="center"/>
              <w:rPr>
                <w:rFonts w:hint="eastAsia" w:ascii="方正仿宋_GB2312" w:hAnsi="方正仿宋_GB2312" w:eastAsia="方正仿宋_GB2312" w:cs="方正仿宋_GB2312"/>
                <w:color w:val="000000"/>
                <w:sz w:val="24"/>
              </w:rPr>
            </w:pP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662751B3">
            <w:pPr>
              <w:widowControl/>
              <w:jc w:val="right"/>
              <w:textAlignment w:val="center"/>
              <w:rPr>
                <w:rFonts w:hint="eastAsia" w:ascii="方正仿宋_GB2312" w:hAnsi="方正仿宋_GB2312" w:eastAsia="方正仿宋_GB2312" w:cs="方正仿宋_GB2312"/>
                <w:color w:val="000000"/>
                <w:sz w:val="24"/>
              </w:rPr>
            </w:pP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D762389">
            <w:pPr>
              <w:rPr>
                <w:rFonts w:hint="eastAsia" w:ascii="方正仿宋_GB2312" w:hAnsi="方正仿宋_GB2312" w:eastAsia="方正仿宋_GB2312" w:cs="方正仿宋_GB2312"/>
                <w:color w:val="000000"/>
                <w:sz w:val="24"/>
              </w:rPr>
            </w:pPr>
          </w:p>
        </w:tc>
      </w:tr>
      <w:tr w14:paraId="3684D1A5">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4CC51E13">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合计</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11F9718">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3.24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3F4458A">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2.26</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7D1CA675">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2.26</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F2AC2ED">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bl>
    <w:p w14:paraId="206B6EBA">
      <w:pPr>
        <w:spacing w:line="560" w:lineRule="exact"/>
        <w:ind w:firstLine="562" w:firstLineChars="200"/>
        <w:outlineLvl w:val="0"/>
        <w:rPr>
          <w:rFonts w:hint="eastAsia" w:ascii="方正仿宋_GB2312" w:hAnsi="方正仿宋_GB2312" w:eastAsia="方正仿宋_GB2312" w:cs="方正仿宋_GB2312"/>
          <w:b/>
          <w:bCs/>
          <w:sz w:val="28"/>
          <w:szCs w:val="28"/>
        </w:rPr>
      </w:pPr>
      <w:bookmarkStart w:id="6" w:name="_Toc10526"/>
      <w:bookmarkStart w:id="7" w:name="_Toc113465515"/>
      <w:r>
        <w:rPr>
          <w:rFonts w:hint="eastAsia" w:ascii="方正仿宋_GB2312" w:hAnsi="方正仿宋_GB2312" w:eastAsia="方正仿宋_GB2312" w:cs="方正仿宋_GB2312"/>
          <w:b/>
          <w:bCs/>
          <w:kern w:val="0"/>
          <w:sz w:val="28"/>
          <w:szCs w:val="28"/>
        </w:rPr>
        <w:t>（三</w:t>
      </w:r>
      <w:r>
        <w:rPr>
          <w:rFonts w:hint="eastAsia" w:ascii="方正仿宋_GB2312" w:hAnsi="方正仿宋_GB2312" w:eastAsia="方正仿宋_GB2312" w:cs="方正仿宋_GB2312"/>
          <w:b/>
          <w:bCs/>
          <w:sz w:val="28"/>
          <w:szCs w:val="28"/>
        </w:rPr>
        <w:t>）单位绩效目标</w:t>
      </w:r>
      <w:bookmarkEnd w:id="6"/>
    </w:p>
    <w:bookmarkEnd w:id="7"/>
    <w:p w14:paraId="5483897F">
      <w:pPr>
        <w:spacing w:line="560" w:lineRule="exact"/>
        <w:ind w:firstLine="560" w:firstLineChars="200"/>
        <w:rPr>
          <w:rFonts w:hint="eastAsia" w:ascii="方正仿宋_GB2312" w:hAnsi="方正仿宋_GB2312" w:eastAsia="方正仿宋_GB2312" w:cs="方正仿宋_GB2312"/>
          <w:sz w:val="28"/>
          <w:szCs w:val="28"/>
        </w:rPr>
      </w:pPr>
      <w:bookmarkStart w:id="8" w:name="_Toc45478663"/>
      <w:bookmarkStart w:id="9" w:name="_Toc45477247"/>
      <w:bookmarkStart w:id="10" w:name="_Toc45478812"/>
      <w:bookmarkStart w:id="11" w:name="_Toc45474239"/>
      <w:r>
        <w:rPr>
          <w:rFonts w:hint="eastAsia" w:ascii="方正仿宋_GB2312" w:hAnsi="方正仿宋_GB2312" w:eastAsia="方正仿宋_GB2312" w:cs="方正仿宋_GB2312"/>
          <w:sz w:val="28"/>
          <w:szCs w:val="28"/>
        </w:rPr>
        <w:t>1.总目标</w:t>
      </w:r>
    </w:p>
    <w:p w14:paraId="553EA241">
      <w:pPr>
        <w:pStyle w:val="23"/>
        <w:tabs>
          <w:tab w:val="right" w:leader="dot" w:pos="8959"/>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highlight w:val="none"/>
          <w:lang w:val="en-US" w:eastAsia="zh-CN"/>
        </w:rPr>
        <w:t>深入学习贯彻</w:t>
      </w:r>
      <w:r>
        <w:rPr>
          <w:rFonts w:hint="eastAsia" w:ascii="方正仿宋_GB2312" w:hAnsi="方正仿宋_GB2312" w:eastAsia="方正仿宋_GB2312" w:cs="方正仿宋_GB2312"/>
          <w:sz w:val="28"/>
          <w:szCs w:val="28"/>
          <w:highlight w:val="none"/>
        </w:rPr>
        <w:t>习近平新时代中国特色社会主义思想，全面贯彻落实党的二十大精神，客观分析国家、省市节能工作形势，结合节能</w:t>
      </w:r>
      <w:r>
        <w:rPr>
          <w:rFonts w:hint="eastAsia" w:ascii="方正仿宋_GB2312" w:hAnsi="方正仿宋_GB2312" w:eastAsia="方正仿宋_GB2312" w:cs="方正仿宋_GB2312"/>
          <w:sz w:val="28"/>
          <w:szCs w:val="28"/>
        </w:rPr>
        <w:t>工作实际，通过创新发展、对标找差，坚定发展目标定位，以新发展理念为引领，积极配合国家、省市各级节能主管部门开展相关工作，重点围绕市工业和信息化局节能工作部署，在全市范围内实施公益性节能和绿色发展服务工作，不断加强中心能力建设，提升中心品牌影响力。</w:t>
      </w:r>
    </w:p>
    <w:p w14:paraId="5EE37EA3">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2.中长期目标</w:t>
      </w:r>
    </w:p>
    <w:p w14:paraId="587E2A0D">
      <w:pPr>
        <w:pStyle w:val="3"/>
        <w:spacing w:line="56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坚持以习近平新时代中国特色社会主义思想为指导，全面贯彻落实习近平生态文明思想和习近平总书记重要讲话重要指示批示精神，围绕南京市工业和信息化局工作部署，紧扣高质量发展目标任务，扎实推进党建与业务工作深度融合，坚持新发展理念，深化改革，完善制度，提升服务，以饱满的热情、务实的作风，奋力争当全国现代化公益性节能服务机构排头兵，努力开创全市节能服务保障工作高质量可持续发展新局面。通过自身建设发展，力争成为企业节能低碳绿色发展的“顾问”，政府部门决策的“智囊”，节能环保产业发展的“助推剂”；要发挥独特优势，成为政府与企业间、企业与企业间的“桥梁”，对外交流合作的“窗口”，综合服务的“平台”。</w:t>
      </w:r>
    </w:p>
    <w:p w14:paraId="7B2011B5">
      <w:pPr>
        <w:spacing w:line="56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rPr>
        <w:t>3.年度绩效目标</w:t>
      </w:r>
    </w:p>
    <w:bookmarkEnd w:id="8"/>
    <w:bookmarkEnd w:id="9"/>
    <w:bookmarkEnd w:id="10"/>
    <w:bookmarkEnd w:id="11"/>
    <w:p w14:paraId="1854368E">
      <w:pPr>
        <w:spacing w:line="560" w:lineRule="exact"/>
        <w:ind w:firstLine="560" w:firstLineChars="200"/>
        <w:rPr>
          <w:rFonts w:hint="eastAsia" w:ascii="方正仿宋_GB2312" w:hAnsi="方正仿宋_GB2312" w:eastAsia="方正仿宋_GB2312" w:cs="方正仿宋_GB2312"/>
          <w:sz w:val="28"/>
          <w:szCs w:val="28"/>
        </w:rPr>
      </w:pPr>
      <w:bookmarkStart w:id="12" w:name="_Toc113465516"/>
      <w:r>
        <w:rPr>
          <w:rFonts w:hint="eastAsia" w:ascii="方正仿宋_GB2312" w:hAnsi="方正仿宋_GB2312" w:eastAsia="方正仿宋_GB2312" w:cs="方正仿宋_GB2312"/>
          <w:sz w:val="28"/>
          <w:szCs w:val="28"/>
          <w:highlight w:val="none"/>
        </w:rPr>
        <w:t>坚持以习近平新时代中国特色社会主义思想为指导，深入贯彻党的二十大和二十届二中、三中全会精神，认真落实《中华人民共和国节约能源法》和市工业和信息化局对节能低碳绿色发展工作</w:t>
      </w:r>
      <w:r>
        <w:rPr>
          <w:rFonts w:hint="eastAsia" w:ascii="方正仿宋_GB2312" w:hAnsi="方正仿宋_GB2312" w:eastAsia="方正仿宋_GB2312" w:cs="方正仿宋_GB2312"/>
          <w:sz w:val="28"/>
          <w:szCs w:val="28"/>
        </w:rPr>
        <w:t>的重要部署，积极践行《南京市推进产业强市行动计划（2023-2025年）》，充分发挥政府助手作用，协助市工业和信息化局等主管部门聚焦开展节能低碳绿色发展政策研究，持续推进固定资产投资项目节能评审和重点用能单位能效水平评估；围绕“六个一”开展系列节能宣传活动；统筹用好《能源研究与利用》期刊和“江苏节能网”网站宣传渠道，重点宣传全省节能动态和成果；突出需求导向，面向用能单位组织召开4场节能培训，组织节能技术解决方案供应商和用能单位开展供需对接活动，促进先进节能技术推广应用；发挥专业技术优势，全年协助25</w:t>
      </w:r>
      <w:r>
        <w:rPr>
          <w:rFonts w:hint="eastAsia" w:ascii="方正仿宋_GB2312" w:hAnsi="方正仿宋_GB2312" w:eastAsia="方正仿宋_GB2312" w:cs="方正仿宋_GB2312"/>
          <w:sz w:val="28"/>
          <w:szCs w:val="28"/>
          <w:highlight w:val="none"/>
        </w:rPr>
        <w:t>家企业实施节能诊断、能源审计，助</w:t>
      </w:r>
      <w:r>
        <w:rPr>
          <w:rFonts w:hint="eastAsia" w:ascii="方正仿宋_GB2312" w:hAnsi="方正仿宋_GB2312" w:eastAsia="方正仿宋_GB2312" w:cs="方正仿宋_GB2312"/>
          <w:sz w:val="28"/>
          <w:szCs w:val="28"/>
        </w:rPr>
        <w:t>力10家企业（园区）创建绿色工厂（绿色产品、绿色供应链、绿色园区）。</w:t>
      </w:r>
    </w:p>
    <w:p w14:paraId="71BDAB57">
      <w:pPr>
        <w:spacing w:line="560" w:lineRule="exact"/>
        <w:ind w:firstLine="562" w:firstLineChars="200"/>
        <w:outlineLvl w:val="0"/>
        <w:rPr>
          <w:rFonts w:hint="eastAsia" w:ascii="方正仿宋_GB2312" w:hAnsi="方正仿宋_GB2312" w:eastAsia="方正仿宋_GB2312" w:cs="方正仿宋_GB2312"/>
          <w:b/>
          <w:bCs/>
          <w:color w:val="000000"/>
          <w:kern w:val="0"/>
          <w:sz w:val="28"/>
          <w:szCs w:val="28"/>
        </w:rPr>
      </w:pPr>
      <w:bookmarkStart w:id="13" w:name="_Toc5462"/>
      <w:r>
        <w:rPr>
          <w:rFonts w:hint="eastAsia" w:ascii="方正仿宋_GB2312" w:hAnsi="方正仿宋_GB2312" w:eastAsia="方正仿宋_GB2312" w:cs="方正仿宋_GB2312"/>
          <w:b/>
          <w:bCs/>
          <w:color w:val="000000"/>
          <w:kern w:val="0"/>
          <w:sz w:val="28"/>
          <w:szCs w:val="28"/>
        </w:rPr>
        <w:t>二、评价结论</w:t>
      </w:r>
      <w:bookmarkEnd w:id="12"/>
      <w:bookmarkEnd w:id="13"/>
    </w:p>
    <w:p w14:paraId="14632CEF">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14" w:name="_Toc113465517"/>
      <w:bookmarkStart w:id="15" w:name="_Toc29785"/>
      <w:r>
        <w:rPr>
          <w:rFonts w:hint="eastAsia" w:ascii="方正仿宋_GB2312" w:hAnsi="方正仿宋_GB2312" w:eastAsia="方正仿宋_GB2312" w:cs="方正仿宋_GB2312"/>
          <w:b/>
          <w:bCs/>
          <w:kern w:val="0"/>
          <w:sz w:val="28"/>
          <w:szCs w:val="28"/>
        </w:rPr>
        <w:t>（一）评价对象</w:t>
      </w:r>
      <w:bookmarkEnd w:id="14"/>
      <w:r>
        <w:rPr>
          <w:rFonts w:hint="eastAsia" w:ascii="方正仿宋_GB2312" w:hAnsi="方正仿宋_GB2312" w:eastAsia="方正仿宋_GB2312" w:cs="方正仿宋_GB2312"/>
          <w:b/>
          <w:bCs/>
          <w:kern w:val="0"/>
          <w:sz w:val="28"/>
          <w:szCs w:val="28"/>
        </w:rPr>
        <w:t>与范围</w:t>
      </w:r>
      <w:bookmarkEnd w:id="15"/>
    </w:p>
    <w:p w14:paraId="3BBF77E9">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本次整体评价的对象为中心2024年度整体预算，包括整体基本经费支出和项目经费支出。绩效评价时间段为2024年1月1日—2024年12月31日。</w:t>
      </w:r>
    </w:p>
    <w:p w14:paraId="3B67EA21">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16" w:name="_Toc24624032"/>
      <w:bookmarkStart w:id="17" w:name="_Toc14590"/>
      <w:bookmarkStart w:id="18" w:name="_Toc113465518"/>
      <w:r>
        <w:rPr>
          <w:rFonts w:hint="eastAsia" w:ascii="方正仿宋_GB2312" w:hAnsi="方正仿宋_GB2312" w:eastAsia="方正仿宋_GB2312" w:cs="方正仿宋_GB2312"/>
          <w:b/>
          <w:bCs/>
          <w:kern w:val="0"/>
          <w:sz w:val="28"/>
          <w:szCs w:val="28"/>
        </w:rPr>
        <w:t>（二）绩效评价结论</w:t>
      </w:r>
      <w:bookmarkEnd w:id="16"/>
      <w:bookmarkEnd w:id="17"/>
      <w:bookmarkEnd w:id="18"/>
    </w:p>
    <w:p w14:paraId="1C8DCE94">
      <w:pPr>
        <w:spacing w:line="560" w:lineRule="exact"/>
        <w:ind w:firstLine="560" w:firstLineChars="200"/>
        <w:rPr>
          <w:rFonts w:ascii="仿宋_GB2312" w:eastAsia="仿宋_GB2312" w:hAnsiTheme="minorHAnsi" w:cstheme="minorBidi"/>
          <w:sz w:val="28"/>
          <w:szCs w:val="28"/>
        </w:rPr>
      </w:pPr>
      <w:r>
        <w:rPr>
          <w:rFonts w:hint="eastAsia" w:ascii="方正仿宋_GB2312" w:hAnsi="方正仿宋_GB2312" w:eastAsia="方正仿宋_GB2312" w:cs="方正仿宋_GB2312"/>
          <w:sz w:val="28"/>
          <w:szCs w:val="28"/>
        </w:rPr>
        <w:t>以指标体系为基础，经过确认评价基础数据，按照制定的评价标准与评分规则，以100分为评价标准分值，从部门决策、过程、履职、效益、满意度等五个方面进行综合评价和量化打分，经评价，2024年度部门整体绩效评分结果为92.</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5分（详见附件：《2024年度南京市节能技术服务中心部门整体绩效自评价表》），等级为“</w:t>
      </w:r>
      <w:r>
        <w:rPr>
          <w:rFonts w:hint="eastAsia" w:ascii="方正仿宋_GB2312" w:hAnsi="方正仿宋_GB2312" w:eastAsia="方正仿宋_GB2312" w:cs="方正仿宋_GB2312"/>
          <w:b/>
          <w:bCs/>
          <w:sz w:val="28"/>
          <w:szCs w:val="28"/>
        </w:rPr>
        <w:t>优</w:t>
      </w:r>
      <w:r>
        <w:rPr>
          <w:rFonts w:hint="eastAsia" w:ascii="方正仿宋_GB2312" w:hAnsi="方正仿宋_GB2312" w:eastAsia="方正仿宋_GB2312" w:cs="方正仿宋_GB2312"/>
          <w:sz w:val="28"/>
          <w:szCs w:val="28"/>
        </w:rPr>
        <w:t>”</w:t>
      </w:r>
      <w:r>
        <w:rPr>
          <w:rFonts w:hint="eastAsia" w:ascii="仿宋_GB2312" w:eastAsia="仿宋_GB2312" w:hAnsiTheme="minorHAnsi" w:cstheme="minorBidi"/>
          <w:sz w:val="28"/>
          <w:szCs w:val="28"/>
        </w:rPr>
        <w:t>。</w:t>
      </w:r>
    </w:p>
    <w:p w14:paraId="073ACE66">
      <w:pPr>
        <w:spacing w:line="560" w:lineRule="exact"/>
        <w:ind w:firstLine="562" w:firstLineChars="200"/>
        <w:outlineLvl w:val="0"/>
        <w:rPr>
          <w:rFonts w:hint="eastAsia" w:ascii="方正仿宋_GB2312" w:hAnsi="方正仿宋_GB2312" w:eastAsia="方正仿宋_GB2312" w:cs="方正仿宋_GB2312"/>
          <w:b/>
          <w:bCs/>
          <w:kern w:val="0"/>
          <w:sz w:val="28"/>
          <w:szCs w:val="28"/>
        </w:rPr>
      </w:pPr>
      <w:bookmarkStart w:id="19" w:name="_Toc113465519"/>
      <w:bookmarkStart w:id="20" w:name="_Toc8180"/>
      <w:r>
        <w:rPr>
          <w:rFonts w:hint="eastAsia" w:ascii="方正仿宋_GB2312" w:hAnsi="方正仿宋_GB2312" w:eastAsia="方正仿宋_GB2312" w:cs="方正仿宋_GB2312"/>
          <w:b/>
          <w:bCs/>
          <w:kern w:val="0"/>
          <w:sz w:val="28"/>
          <w:szCs w:val="28"/>
        </w:rPr>
        <w:t>三、单位履职成效</w:t>
      </w:r>
      <w:bookmarkEnd w:id="19"/>
      <w:bookmarkEnd w:id="20"/>
    </w:p>
    <w:p w14:paraId="760CCF3B">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1" w:name="_Toc32398"/>
      <w:bookmarkStart w:id="22" w:name="_Toc113465525"/>
      <w:r>
        <w:rPr>
          <w:rFonts w:hint="eastAsia" w:ascii="方正仿宋_GB2312" w:hAnsi="方正仿宋_GB2312" w:eastAsia="方正仿宋_GB2312" w:cs="方正仿宋_GB2312"/>
          <w:b/>
          <w:bCs/>
          <w:kern w:val="0"/>
          <w:sz w:val="28"/>
          <w:szCs w:val="28"/>
        </w:rPr>
        <w:t>（一）强化公益与技术支撑，启动绿色发展新征程</w:t>
      </w:r>
      <w:bookmarkEnd w:id="21"/>
    </w:p>
    <w:p w14:paraId="647702C4">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1.深度参与政策课题研究，夯实工业节能低碳基石</w:t>
      </w:r>
    </w:p>
    <w:p w14:paraId="44B20E9E">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南京市碳达峰实施方案》，与绿色制造处紧密合作，精心完善《南京市工业领域及重点行业碳达峰实施方案》，为我市工业领域碳达峰工作提供了精准的指导。积极开展两个省级标准反馈意见的修订和报审工作，成功召开标准修订审查会，有力确保标准的科学性和实用性。参与乙烯等两个行业节能监察工作手册编制，为行业节能监察工作提供规范依据。此外，在省节能量交易中心收尾工作中，我们积极作为，保障了节能量交易的顺利进行和规范管理。</w:t>
      </w:r>
    </w:p>
    <w:p w14:paraId="7DE78F13">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2.提升专业服务效能，发挥支撑助手作用</w:t>
      </w:r>
    </w:p>
    <w:p w14:paraId="3768B747">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聚焦工业重点领域企业，持续对扬子石化等16家工业企业2023年的32个（套）装置进行能效水平评估，并跟踪企业能效提升技术改造方案的落实情况，为每家企业精心编制能效水平评估报告。评估结果显示，与2021年、2022年相比，优于标杆水平的装置占比显著上升。同时，我们还对20家工业企业实施全面节能诊断，涵盖7家专精特新中小企业、6家专精特新“小巨人”企业，以及另外7家企业，涉及12个行业领域，共挖掘出40项节能技术改造项目建议，预计可实现年节能量4千吨标准煤，约占被诊断企业年能耗总量的5%，有效助力企业降低能耗成本。此外，根据绿色制造处的工作安排，对全市38家5万吨标准煤以上重点用能单位开展能效诊断工作，全面梳理出六大行业13类主要用能产品、7类用能设备的能效水平及节能降碳改造和用能设备更新项目储备情况，为重点用能单位的节能降碳工作提供了精准的数据支持和决策依据。</w:t>
      </w:r>
    </w:p>
    <w:p w14:paraId="474BDD82">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3.严格履行评审职责，保障项目合规推进</w:t>
      </w:r>
    </w:p>
    <w:p w14:paraId="447D9F57">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积极配合省工信厅、市工信局等开展11个固定资产投资项目节能报告评审，严格把关，确保项目符合节能要求。配合省工信厅对19家再生资源利用行业规范准入条件企业申报材料进行审核，筛选出12家符合规范条件的企业报工信部。配合绿色制造处参与市生态环境局牵头的4家水泥生产企业超低排放检查，以及上海梅山钢铁股份有限公司环保升级改造工程等两个项目的节能验收，对南京扬子空压站可靠性提升改造项目节能验收报告进行质量把关，并对一家申报省输液瓶（袋）回收利用名录的企业进行现场核查；深入调研南京市电动自行车废旧锂电池回收利用工作，并参与报废机动车回收拆解行业联合检查；补充完善南京市申报省级绿色工厂的评审评分表，对全市60余家企业创建省级绿色工厂材料进行严格审核，确保各项工作的质量和合规性。</w:t>
      </w:r>
    </w:p>
    <w:p w14:paraId="2256A1A7">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4.全面落实行动举措，积极应对气候变化</w:t>
      </w:r>
    </w:p>
    <w:p w14:paraId="70843D5C">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积极参与省生态环境厅2024年度应对气候变化技术服务项目投标并中标，举办全省钢铁行业绿色低碳转型发展系列培训、重点行业绿色低碳转型培训等活动5场，累计培训学员553人次。组织技术人员分三次对20家发电行业、12家钢铁（水泥、平板玻璃）行业和17家其他非电行业重点排放单位开展现场核查。此外，我们高度重视技术人员碳方面能力建设，安排技术人员参加碳排放异地监督帮扶督查、执法人员碳排放执法培训、碳排放权管理条例和数据质量培训、水泥行业纳入全国碳市场能力建设培训和碳排放核算员技能竞赛，不断提升技术人员在碳领域的专业能力和业务水平。</w:t>
      </w:r>
    </w:p>
    <w:p w14:paraId="1C32ED62">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3" w:name="_Toc20927"/>
      <w:r>
        <w:rPr>
          <w:rFonts w:hint="eastAsia" w:ascii="方正仿宋_GB2312" w:hAnsi="方正仿宋_GB2312" w:eastAsia="方正仿宋_GB2312" w:cs="方正仿宋_GB2312"/>
          <w:b/>
          <w:bCs/>
          <w:kern w:val="0"/>
          <w:sz w:val="28"/>
          <w:szCs w:val="28"/>
        </w:rPr>
        <w:t>（二）强化宣传培训引导，打造能源管理高素质队伍</w:t>
      </w:r>
      <w:bookmarkEnd w:id="23"/>
    </w:p>
    <w:p w14:paraId="68C97EEC">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1.紧扣节能主题，丰富节能宣传周活动形式</w:t>
      </w:r>
    </w:p>
    <w:p w14:paraId="15171807">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全国节能宣传周期间，紧紧围绕“绿色转型，节能攻坚”主题，精心策划并组织开展了能源紧缺体验、节能低碳专题培训、节能专家企业行、节能宣传进校园、节能技术推广等系列活动，切实增强了社会各界的节能意识，营造浓厚的节能氛围。</w:t>
      </w:r>
    </w:p>
    <w:p w14:paraId="3201746C">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2.优化节能宣传阵地，切实提升宣传成效</w:t>
      </w:r>
    </w:p>
    <w:p w14:paraId="7CDC2FB1">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全面统筹各类宣传媒介，重点把控期刊和网站两大节能宣传阵地，确保宣传工作同党中央保持高度一致。积极推进《能源研究与利用》期刊主管（主办）单位名称变更申请工作，并强化对发表文章的审核筛选，有效提高刊文质量，该刊2023年度影响因子从2022年的0.739提高到0.780，2024年出版的六期期刊共发表61篇文章，其中基金文章23篇，占比37.7%。顺利完成“江苏节能网”网站升级改版和等级保护测评，改版后的网站更注重展示省、市及南京各区节能低碳绿色发展成果，进一步扩大了节能宣传影响力，全年发布稿件730篇，发布原创稿件54篇。</w:t>
      </w:r>
    </w:p>
    <w:p w14:paraId="261E9F0D">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3.契合发展需求，增强培训与推介效能</w:t>
      </w:r>
    </w:p>
    <w:p w14:paraId="7FC87209">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积极配合相关部门和企业开展各类培训与推介活动。一季度，配合绿色制造处承办南京市绿色制造体系创建专题培训，深入讲解绿色制造体系建设政策、评价要求及申报流程，并推广节能和用电安全技术，为全市绿色制造体系建设奠定基础。五月中旬，联合溧水区工信局举办溧水专场节能低碳技术供需对接和专题培训活动，推广多项节能低碳技术、产品，并解读相关政策法规。三季度，根据江北新区需求，在新材料科技园举办“聚焦绿电绿证 共筑绿色未来”专题培训，邀请专家解读绿电绿证政策并邀请园区企业分享经验。10月下旬，协助绿色制造处举办全市工业领域用能设备更新供需对接会，解读国家及省市“两新”政策，并开展电机、风机、空压机、变压器、绿色金融等领域供需对接活动，推动了工业领域节能设备更新与发展。此外，应邀为梅钢开展绿色低碳能力建设专场培训，并积极组织两家南京企业参加国家节能中心主办的先进节能降碳技术产品展示及对接活动，有效促进了节能技术的交流与合作。</w:t>
      </w:r>
    </w:p>
    <w:p w14:paraId="47CBCBF0">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4" w:name="_Toc20196"/>
      <w:r>
        <w:rPr>
          <w:rFonts w:hint="eastAsia" w:ascii="方正仿宋_GB2312" w:hAnsi="方正仿宋_GB2312" w:eastAsia="方正仿宋_GB2312" w:cs="方正仿宋_GB2312"/>
          <w:b/>
          <w:bCs/>
          <w:kern w:val="0"/>
          <w:sz w:val="28"/>
          <w:szCs w:val="28"/>
        </w:rPr>
        <w:t>（三）强化市场服务意识，激发绿色发展活力</w:t>
      </w:r>
      <w:bookmarkEnd w:id="24"/>
    </w:p>
    <w:p w14:paraId="705B9C03">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1.全力助推企业园区，构建绿色制造体系</w:t>
      </w:r>
    </w:p>
    <w:p w14:paraId="057D1987">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积极指导南瑞继保等3家企业创建国家级绿色供应链管理企业，南京贺利氏贵金属等14家企业创建国家级绿色工厂，新联电子等5家企业创建省级绿色工厂，浦口经开区等2个园区创建国家级、省级绿色工业园区，有力推动了企业和园区的绿色发展进程。</w:t>
      </w:r>
    </w:p>
    <w:p w14:paraId="2B48FC07">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2.拓展多元技术服务，夯实企业节能根基</w:t>
      </w:r>
    </w:p>
    <w:p w14:paraId="29F963EC">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照最新出台的节能审查实施办法要求，认真开展15个企业固定资产投资项目节能报告编制工作，为企业节能项目实施提供专业、精准的指导。顺利完成两家工业企业和两个公共机构能源审计，扎实完成11个节能量审核项目现场核查工作，并对常熟市19家工业企业开展精准化节能诊断，为企业挖掘节能潜力提供了有力支持。</w:t>
      </w:r>
    </w:p>
    <w:p w14:paraId="5F7B243B">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5" w:name="_Toc26682"/>
      <w:r>
        <w:rPr>
          <w:rFonts w:hint="eastAsia" w:ascii="方正仿宋_GB2312" w:hAnsi="方正仿宋_GB2312" w:eastAsia="方正仿宋_GB2312" w:cs="方正仿宋_GB2312"/>
          <w:b/>
          <w:bCs/>
          <w:kern w:val="0"/>
          <w:sz w:val="28"/>
          <w:szCs w:val="28"/>
        </w:rPr>
        <w:t>（四）强化党建政治引领，推进中心高质量发展</w:t>
      </w:r>
      <w:bookmarkEnd w:id="25"/>
    </w:p>
    <w:p w14:paraId="1229E0ED">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1.扎实开展党纪学习教育，强化党员纪律意识</w:t>
      </w:r>
    </w:p>
    <w:p w14:paraId="6BA69061">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党总支及各支部制定党纪学习教育计划表，各支部组织党员集中学习《中国共产党纪律处分条例》，配发相关学习材料，交流研讨学习心得，总支书记和支部书记带头讲授专题党课。以主题党日活动为依托，组织党员前往廉政教育基地开展现场警示教育，指导各支部剖析案例、排查廉政风险点。党员个人对照“六项纪律”查摆问题，并制定相应的整改防范措施，确保党纪学习教育落到实处。</w:t>
      </w:r>
    </w:p>
    <w:p w14:paraId="6FFDC07D">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2.推进支部建设标准化，落实党建工作责任</w:t>
      </w:r>
    </w:p>
    <w:p w14:paraId="74CE60EF">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年初，中心党总支制定了一系列党建工作计划和责任清单，明确总支书记负总责，层层压实党建工作责任。抓牢理论学习，落实“第一议题”学习制度，创新学习载体，增强学习效果。持续推动组织建设，完成总支委员补选和中心工会换届改选，培养发展对象并发展新党员。规范总支（支部）、党员个人记录，定期开展支部台账检查，并在“七一”前后开展“两优一先”评选表彰，组织党员重温入党誓词、过“政治生日”。</w:t>
      </w:r>
    </w:p>
    <w:p w14:paraId="2C69B5D3">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3.深入推进党风廉政建设，防范腐败风险</w:t>
      </w:r>
    </w:p>
    <w:p w14:paraId="6E712303">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大额资金存放银行遴选、专技岗位聘用评审等重大事项中，严格执行“三重一大”风险防控和监督管理要求，确保决策公正、透明。将党风廉政建设融入日常工作，开展领导干部党风廉政建设和职工廉洁教育相关活动，定期转发廉洁教育短信，在节假日前正风肃纪，开展常态化谈心谈话。组织党员群众集中学习警示教育短片和专题纪录片，年初与职工签署廉洁从业承诺书，技术人员参加碳排放核查等工作前召开专题会议强调廉洁纪律，筑牢廉洁防线。</w:t>
      </w:r>
    </w:p>
    <w:p w14:paraId="05590F3F">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4.严格把控意识形态，履行主体责任</w:t>
      </w:r>
    </w:p>
    <w:p w14:paraId="44AA9FC1">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党总支书记、各支部书记履行“第一责任人”工作职责，带头抓意识形态工作，加强阵地管理、导向把控和队伍建设。按期完成意识形态分析工作，常态化开展中心员工意识形态领域教育监督，强化微信群等登记管理，确保单位意识形态领域安全稳定。</w:t>
      </w:r>
    </w:p>
    <w:p w14:paraId="60BF8DF9">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5.巩固精神文明成果，开展多元文化活动</w:t>
      </w:r>
    </w:p>
    <w:p w14:paraId="2FB661A6">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功举办首届职工技能竞赛、职工登山活动，召开1期道德讲堂和19期“业务大讲堂”，动员职工参与上级组织的各类公益活动和工会活动，举办以学习党史为主题的读书分享会，丰富职工精神文化生活，增强单位凝聚力。</w:t>
      </w:r>
    </w:p>
    <w:p w14:paraId="02CCEF21">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6.扎实开展安全生产工作，筑牢安全防线</w:t>
      </w:r>
    </w:p>
    <w:p w14:paraId="0AFE85F4">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定期开展安全生产分析研判和隐患排查治理工作，组织开展消防培训和逃生演练活动，增强职工应急逃生能力。委托专业机构对关键设施设备进行全面巡检与维护保养，确保其安全稳定运行。派员每月参加市工信局安全形势分析会，定期开展消防安全重大风险隐患排查行动，及时对重点部位和设施进行细致检查并整改安全隐患，全方位保障中心安全生产环境。</w:t>
      </w:r>
    </w:p>
    <w:p w14:paraId="6165A7A0">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7.强化单位法治建设，提升依法治理水平</w:t>
      </w:r>
    </w:p>
    <w:p w14:paraId="13DC88A0">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中心党总支书记切实履行</w:t>
      </w:r>
      <w:r>
        <w:rPr>
          <w:rFonts w:hint="eastAsia" w:ascii="方正仿宋_GB2312" w:hAnsi="方正仿宋_GB2312" w:eastAsia="方正仿宋_GB2312" w:cs="方正仿宋_GB2312"/>
          <w:sz w:val="28"/>
          <w:szCs w:val="28"/>
          <w:lang w:eastAsia="zh-CN"/>
        </w:rPr>
        <w:t>推进</w:t>
      </w:r>
      <w:r>
        <w:rPr>
          <w:rFonts w:hint="eastAsia" w:ascii="方正仿宋_GB2312" w:hAnsi="方正仿宋_GB2312" w:eastAsia="方正仿宋_GB2312" w:cs="方正仿宋_GB2312"/>
          <w:sz w:val="28"/>
          <w:szCs w:val="28"/>
        </w:rPr>
        <w:t>法治建设第一责任人职责，定期主持召开党总支委员会（扩大）会议开展法律法规学习活动，深入贯彻习近平法治思想。持续健全和完善单位管理规章制度，在关键环节主动向中心法律顾问征求意见建议，并要求出具合法性审查意见。积极组织全体职工参加法制、合同管理等专题培训，鼓励职工参与安全生产普法知识竞赛，有效增强职工的法治意识。</w:t>
      </w:r>
    </w:p>
    <w:p w14:paraId="0E720EB6">
      <w:pPr>
        <w:spacing w:line="560" w:lineRule="exact"/>
        <w:ind w:firstLine="562" w:firstLineChars="200"/>
        <w:outlineLvl w:val="0"/>
        <w:rPr>
          <w:rFonts w:hint="eastAsia" w:ascii="方正仿宋_GB2312" w:hAnsi="方正仿宋_GB2312" w:eastAsia="方正仿宋_GB2312" w:cs="方正仿宋_GB2312"/>
          <w:b/>
          <w:bCs/>
          <w:kern w:val="0"/>
          <w:sz w:val="28"/>
          <w:szCs w:val="28"/>
        </w:rPr>
      </w:pPr>
      <w:bookmarkStart w:id="26" w:name="_Toc19221"/>
      <w:r>
        <w:rPr>
          <w:rFonts w:hint="eastAsia" w:ascii="方正仿宋_GB2312" w:hAnsi="方正仿宋_GB2312" w:eastAsia="方正仿宋_GB2312" w:cs="方正仿宋_GB2312"/>
          <w:b/>
          <w:bCs/>
          <w:kern w:val="0"/>
          <w:sz w:val="28"/>
          <w:szCs w:val="28"/>
        </w:rPr>
        <w:t>四、存在问题及原因分析</w:t>
      </w:r>
      <w:bookmarkEnd w:id="22"/>
      <w:bookmarkEnd w:id="26"/>
    </w:p>
    <w:p w14:paraId="48AB1284">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7" w:name="_Toc12896"/>
      <w:bookmarkStart w:id="28" w:name="_Toc113465528"/>
      <w:r>
        <w:rPr>
          <w:rFonts w:hint="eastAsia" w:ascii="方正仿宋_GB2312" w:hAnsi="方正仿宋_GB2312" w:eastAsia="方正仿宋_GB2312" w:cs="方正仿宋_GB2312"/>
          <w:b/>
          <w:bCs/>
          <w:kern w:val="0"/>
          <w:sz w:val="28"/>
          <w:szCs w:val="28"/>
        </w:rPr>
        <w:t>（一）预算执行水平有待提升</w:t>
      </w:r>
      <w:bookmarkEnd w:id="27"/>
    </w:p>
    <w:p w14:paraId="65F226D8">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2024年预算执行水平有待提升，主要体现在非税收入预算完成率偏低和预算调整率偏高：中心非税收入主要为房租收入，预算金额170.75万元，实际完成金额115.28万元，非税收入预算完成率为67.51%，实际完成金额与预算金额存在差异主要原因是部分客户退租；中心2024年支出预算金额1,436.09万元，支出决算金额1,649.67万元，预算调整金额213.58万元，预算调整率为14.87%。</w:t>
      </w:r>
    </w:p>
    <w:p w14:paraId="15C924F5">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9" w:name="_Toc14237"/>
      <w:r>
        <w:rPr>
          <w:rFonts w:hint="eastAsia" w:ascii="方正仿宋_GB2312" w:hAnsi="方正仿宋_GB2312" w:eastAsia="方正仿宋_GB2312" w:cs="方正仿宋_GB2312"/>
          <w:b/>
          <w:bCs/>
          <w:kern w:val="0"/>
          <w:sz w:val="28"/>
          <w:szCs w:val="28"/>
        </w:rPr>
        <w:t>（二）资产管理能力需加强</w:t>
      </w:r>
      <w:bookmarkEnd w:id="29"/>
    </w:p>
    <w:p w14:paraId="609B817A">
      <w:pPr>
        <w:spacing w:line="560" w:lineRule="exact"/>
        <w:ind w:firstLine="560" w:firstLineChars="200"/>
        <w:rPr>
          <w:rFonts w:ascii="仿宋_GB2312" w:eastAsia="仿宋_GB2312" w:hAnsiTheme="minorHAnsi" w:cstheme="minorBidi"/>
          <w:sz w:val="28"/>
          <w:szCs w:val="28"/>
          <w:highlight w:val="none"/>
        </w:rPr>
      </w:pPr>
      <w:r>
        <w:rPr>
          <w:rFonts w:hint="eastAsia" w:ascii="方正仿宋_GB2312" w:hAnsi="方正仿宋_GB2312" w:eastAsia="方正仿宋_GB2312" w:cs="方正仿宋_GB2312"/>
          <w:sz w:val="28"/>
          <w:szCs w:val="28"/>
        </w:rPr>
        <w:t>中心资产管理职责不够清晰</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val="en-US" w:eastAsia="zh-CN"/>
        </w:rPr>
        <w:t>由于近几年中心在职人员减少，</w:t>
      </w:r>
      <w:r>
        <w:rPr>
          <w:rFonts w:hint="eastAsia" w:ascii="方正仿宋_GB2312" w:hAnsi="方正仿宋_GB2312" w:eastAsia="方正仿宋_GB2312" w:cs="方正仿宋_GB2312"/>
          <w:sz w:val="28"/>
          <w:szCs w:val="28"/>
          <w:highlight w:val="none"/>
        </w:rPr>
        <w:t>部分</w:t>
      </w:r>
      <w:r>
        <w:rPr>
          <w:rFonts w:hint="eastAsia" w:ascii="方正仿宋_GB2312" w:hAnsi="方正仿宋_GB2312" w:eastAsia="方正仿宋_GB2312" w:cs="方正仿宋_GB2312"/>
          <w:sz w:val="28"/>
          <w:szCs w:val="28"/>
          <w:highlight w:val="none"/>
          <w:lang w:val="en-US" w:eastAsia="zh-CN"/>
        </w:rPr>
        <w:t>办公桌椅、电脑、打印机等</w:t>
      </w:r>
      <w:r>
        <w:rPr>
          <w:rFonts w:hint="eastAsia" w:ascii="方正仿宋_GB2312" w:hAnsi="方正仿宋_GB2312" w:eastAsia="方正仿宋_GB2312" w:cs="方正仿宋_GB2312"/>
          <w:sz w:val="28"/>
          <w:szCs w:val="28"/>
          <w:highlight w:val="none"/>
        </w:rPr>
        <w:t>固定资产处于</w:t>
      </w:r>
      <w:r>
        <w:rPr>
          <w:rFonts w:hint="eastAsia" w:ascii="方正仿宋_GB2312" w:hAnsi="方正仿宋_GB2312" w:eastAsia="方正仿宋_GB2312" w:cs="方正仿宋_GB2312"/>
          <w:sz w:val="28"/>
          <w:szCs w:val="28"/>
          <w:highlight w:val="none"/>
          <w:lang w:val="en-US" w:eastAsia="zh-CN"/>
        </w:rPr>
        <w:t>待盘活</w:t>
      </w:r>
      <w:r>
        <w:rPr>
          <w:rFonts w:hint="eastAsia" w:ascii="方正仿宋_GB2312" w:hAnsi="方正仿宋_GB2312" w:eastAsia="方正仿宋_GB2312" w:cs="方正仿宋_GB2312"/>
          <w:sz w:val="28"/>
          <w:szCs w:val="28"/>
          <w:highlight w:val="none"/>
        </w:rPr>
        <w:t>状态，2024年资产卡片显示共有398项固定资产，待盘活固定资产43项，固定资产利用率89.20%，其中</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5台电脑、打印机已无法正常工作，</w:t>
      </w:r>
      <w:r>
        <w:rPr>
          <w:rFonts w:hint="eastAsia" w:ascii="方正仿宋_GB2312" w:hAnsi="方正仿宋_GB2312" w:eastAsia="方正仿宋_GB2312" w:cs="方正仿宋_GB2312"/>
          <w:sz w:val="28"/>
          <w:szCs w:val="28"/>
          <w:highlight w:val="none"/>
        </w:rPr>
        <w:t>7台（套）检测设备不能满足当前的工作需要已处于报废状态，</w:t>
      </w:r>
      <w:r>
        <w:rPr>
          <w:rFonts w:hint="eastAsia" w:ascii="方正仿宋_GB2312" w:hAnsi="方正仿宋_GB2312" w:eastAsia="方正仿宋_GB2312" w:cs="方正仿宋_GB2312"/>
          <w:sz w:val="28"/>
          <w:szCs w:val="28"/>
          <w:highlight w:val="none"/>
          <w:lang w:eastAsia="zh-CN"/>
        </w:rPr>
        <w:t>中心已于</w:t>
      </w:r>
      <w:r>
        <w:rPr>
          <w:rFonts w:hint="eastAsia" w:ascii="方正仿宋_GB2312" w:hAnsi="方正仿宋_GB2312" w:eastAsia="方正仿宋_GB2312" w:cs="方正仿宋_GB2312"/>
          <w:sz w:val="28"/>
          <w:szCs w:val="28"/>
          <w:highlight w:val="none"/>
          <w:lang w:val="en-US" w:eastAsia="zh-CN"/>
        </w:rPr>
        <w:t>2025年5月份进行了报废处理</w:t>
      </w:r>
      <w:r>
        <w:rPr>
          <w:rFonts w:hint="eastAsia" w:ascii="方正仿宋_GB2312" w:hAnsi="方正仿宋_GB2312" w:eastAsia="方正仿宋_GB2312" w:cs="方正仿宋_GB2312"/>
          <w:sz w:val="28"/>
          <w:szCs w:val="28"/>
          <w:highlight w:val="none"/>
        </w:rPr>
        <w:t>。</w:t>
      </w:r>
      <w:r>
        <w:rPr>
          <w:rFonts w:hint="eastAsia" w:ascii="仿宋_GB2312" w:eastAsia="仿宋_GB2312" w:hAnsiTheme="minorHAnsi" w:cstheme="minorBidi"/>
          <w:sz w:val="28"/>
          <w:szCs w:val="28"/>
          <w:highlight w:val="none"/>
        </w:rPr>
        <w:t xml:space="preserve">    </w:t>
      </w:r>
    </w:p>
    <w:p w14:paraId="48C3012F">
      <w:pPr>
        <w:spacing w:line="560" w:lineRule="exact"/>
        <w:ind w:firstLine="562" w:firstLineChars="200"/>
        <w:outlineLvl w:val="1"/>
        <w:rPr>
          <w:rFonts w:hint="eastAsia" w:ascii="方正仿宋_GB2312" w:hAnsi="方正仿宋_GB2312" w:eastAsia="方正仿宋_GB2312" w:cs="方正仿宋_GB2312"/>
          <w:b/>
          <w:bCs/>
          <w:kern w:val="0"/>
          <w:sz w:val="28"/>
          <w:szCs w:val="28"/>
          <w:highlight w:val="none"/>
        </w:rPr>
      </w:pPr>
      <w:bookmarkStart w:id="30" w:name="_Toc30328"/>
      <w:r>
        <w:rPr>
          <w:rFonts w:hint="eastAsia" w:ascii="方正仿宋_GB2312" w:hAnsi="方正仿宋_GB2312" w:eastAsia="方正仿宋_GB2312" w:cs="方正仿宋_GB2312"/>
          <w:b/>
          <w:bCs/>
          <w:kern w:val="0"/>
          <w:sz w:val="28"/>
          <w:szCs w:val="28"/>
          <w:highlight w:val="none"/>
        </w:rPr>
        <w:t>（三）单位人才队伍建设不完善</w:t>
      </w:r>
      <w:bookmarkEnd w:id="30"/>
    </w:p>
    <w:p w14:paraId="7C113612">
      <w:pPr>
        <w:autoSpaceDE w:val="0"/>
        <w:autoSpaceDN w:val="0"/>
        <w:adjustRightInd w:val="0"/>
        <w:spacing w:line="600" w:lineRule="exact"/>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中心受行政机关委托，负责协助参与政策研究、规划编制和标准制定、节能技术服务、节能宣传、培训和技术推广等工作，但中心核定编制41人，截至2024年末，实有在编人员26人，现有专业技术人员数量稍显不足。</w:t>
      </w:r>
    </w:p>
    <w:p w14:paraId="3B54541D">
      <w:pPr>
        <w:spacing w:line="560" w:lineRule="exact"/>
        <w:ind w:firstLine="562" w:firstLineChars="200"/>
        <w:outlineLvl w:val="0"/>
        <w:rPr>
          <w:rFonts w:hint="eastAsia" w:ascii="方正仿宋_GB2312" w:hAnsi="方正仿宋_GB2312" w:eastAsia="方正仿宋_GB2312" w:cs="方正仿宋_GB2312"/>
          <w:b/>
          <w:bCs/>
          <w:kern w:val="0"/>
          <w:sz w:val="28"/>
          <w:szCs w:val="28"/>
        </w:rPr>
      </w:pPr>
      <w:bookmarkStart w:id="31" w:name="_Toc3680"/>
      <w:r>
        <w:rPr>
          <w:rFonts w:hint="eastAsia" w:ascii="方正仿宋_GB2312" w:hAnsi="方正仿宋_GB2312" w:eastAsia="方正仿宋_GB2312" w:cs="方正仿宋_GB2312"/>
          <w:b/>
          <w:bCs/>
          <w:kern w:val="0"/>
          <w:sz w:val="28"/>
          <w:szCs w:val="28"/>
        </w:rPr>
        <w:t>五、</w:t>
      </w:r>
      <w:bookmarkEnd w:id="28"/>
      <w:r>
        <w:rPr>
          <w:rFonts w:hint="eastAsia" w:ascii="方正仿宋_GB2312" w:hAnsi="方正仿宋_GB2312" w:eastAsia="方正仿宋_GB2312" w:cs="方正仿宋_GB2312"/>
          <w:b/>
          <w:bCs/>
          <w:kern w:val="0"/>
          <w:sz w:val="28"/>
          <w:szCs w:val="28"/>
        </w:rPr>
        <w:t>有关建议</w:t>
      </w:r>
      <w:bookmarkEnd w:id="31"/>
    </w:p>
    <w:p w14:paraId="2D2BB4E1">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2" w:name="_Toc18606"/>
      <w:bookmarkStart w:id="33" w:name="_Toc113465531"/>
      <w:r>
        <w:rPr>
          <w:rFonts w:hint="eastAsia" w:ascii="方正仿宋_GB2312" w:hAnsi="方正仿宋_GB2312" w:eastAsia="方正仿宋_GB2312" w:cs="方正仿宋_GB2312"/>
          <w:b/>
          <w:bCs/>
          <w:kern w:val="0"/>
          <w:sz w:val="28"/>
          <w:szCs w:val="28"/>
        </w:rPr>
        <w:t>（一）科学编制预算，强化预算执行监控</w:t>
      </w:r>
      <w:bookmarkEnd w:id="32"/>
    </w:p>
    <w:p w14:paraId="00C6D523">
      <w:pPr>
        <w:spacing w:line="560" w:lineRule="exact"/>
        <w:ind w:firstLine="560" w:firstLineChars="200"/>
        <w:rPr>
          <w:rFonts w:ascii="仿宋_GB2312" w:eastAsia="仿宋_GB2312" w:hAnsiTheme="minorHAnsi" w:cstheme="minorBidi"/>
          <w:sz w:val="28"/>
          <w:szCs w:val="28"/>
        </w:rPr>
      </w:pPr>
      <w:r>
        <w:rPr>
          <w:rFonts w:hint="eastAsia" w:ascii="方正仿宋_GB2312" w:hAnsi="方正仿宋_GB2312" w:eastAsia="方正仿宋_GB2312" w:cs="方正仿宋_GB2312"/>
          <w:sz w:val="28"/>
          <w:szCs w:val="28"/>
        </w:rPr>
        <w:t>中心应提高预算精准度，结合历史数据和实际需求，优化预算编制方法，细化预算科目提高可执行性。建立预警机制，设定关键指标（如执行率、偏差率），实时监控预算完成情况，及时预警异常。明确预算调整的条件、审批权限和程序，尽量避免大额调整预算。</w:t>
      </w:r>
    </w:p>
    <w:p w14:paraId="66EB586F">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4" w:name="_Toc21861"/>
      <w:r>
        <w:rPr>
          <w:rFonts w:hint="eastAsia" w:ascii="方正仿宋_GB2312" w:hAnsi="方正仿宋_GB2312" w:eastAsia="方正仿宋_GB2312" w:cs="方正仿宋_GB2312"/>
          <w:b/>
          <w:bCs/>
          <w:kern w:val="0"/>
          <w:sz w:val="28"/>
          <w:szCs w:val="28"/>
        </w:rPr>
        <w:t>（二）建立长效机制，提高资产利用率</w:t>
      </w:r>
      <w:bookmarkEnd w:id="34"/>
    </w:p>
    <w:p w14:paraId="6DAC876B">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应完善《单位国有资产管理办法》，覆盖全生命周期的管理规范（购置-使用-处置-清查），明确各个环节的管理要求和责任主体，建立“谁使用、谁负责”的追责机制。设立专职资产管理岗，配备专业的资产管理工作人员，并定期开展培训考核，提升其业务能力和管理水平，确保国有资产管理工作落到实处，提高资产管理工作质量。建立资产利用率、回报率等指标，实现对资产的实时动态监控，提高资产管理的效率和透明度。</w:t>
      </w:r>
    </w:p>
    <w:p w14:paraId="0ED40B29">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5" w:name="_Toc30537"/>
      <w:r>
        <w:rPr>
          <w:rFonts w:hint="eastAsia" w:ascii="方正仿宋_GB2312" w:hAnsi="方正仿宋_GB2312" w:eastAsia="方正仿宋_GB2312" w:cs="方正仿宋_GB2312"/>
          <w:b/>
          <w:bCs/>
          <w:kern w:val="0"/>
          <w:sz w:val="28"/>
          <w:szCs w:val="28"/>
        </w:rPr>
        <w:t>（三）健全人才培养机制，加强人才队伍建设</w:t>
      </w:r>
      <w:bookmarkEnd w:id="35"/>
    </w:p>
    <w:p w14:paraId="77BCDDF6">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结合单位业务及需求，建立人才吸纳、培养和使用相协调的良好机制，加大竞争上岗比例，优化人才成长环境和人力资源配置。在日常工作开展过程中努力挖掘行业政策、标准、方案制订和课题研究等业务。同时也要引入外部智力支持，进一步整合完善专家库信息，拓宽工作人员的视野，丰富工作人员的理论水平。</w:t>
      </w:r>
    </w:p>
    <w:p w14:paraId="239C1DCE">
      <w:pPr>
        <w:spacing w:line="560" w:lineRule="exact"/>
        <w:ind w:firstLine="562" w:firstLineChars="200"/>
        <w:outlineLvl w:val="0"/>
        <w:rPr>
          <w:rFonts w:hint="eastAsia" w:ascii="方正仿宋_GB2312" w:hAnsi="方正仿宋_GB2312" w:eastAsia="方正仿宋_GB2312" w:cs="方正仿宋_GB2312"/>
          <w:b/>
          <w:bCs/>
          <w:kern w:val="0"/>
          <w:sz w:val="28"/>
          <w:szCs w:val="28"/>
        </w:rPr>
      </w:pPr>
      <w:bookmarkStart w:id="36" w:name="_Toc2224"/>
      <w:r>
        <w:rPr>
          <w:rFonts w:hint="eastAsia" w:ascii="方正仿宋_GB2312" w:hAnsi="方正仿宋_GB2312" w:eastAsia="方正仿宋_GB2312" w:cs="方正仿宋_GB2312"/>
          <w:b/>
          <w:bCs/>
          <w:kern w:val="0"/>
          <w:sz w:val="28"/>
          <w:szCs w:val="28"/>
        </w:rPr>
        <w:t>六、评价工作开展情况及其他需说明的情况</w:t>
      </w:r>
      <w:bookmarkEnd w:id="33"/>
      <w:bookmarkEnd w:id="36"/>
    </w:p>
    <w:p w14:paraId="37302FFE">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7" w:name="_Toc113465532"/>
      <w:bookmarkStart w:id="38" w:name="_Toc16821"/>
      <w:r>
        <w:rPr>
          <w:rFonts w:hint="eastAsia" w:ascii="方正仿宋_GB2312" w:hAnsi="方正仿宋_GB2312" w:eastAsia="方正仿宋_GB2312" w:cs="方正仿宋_GB2312"/>
          <w:b/>
          <w:bCs/>
          <w:kern w:val="0"/>
          <w:sz w:val="28"/>
          <w:szCs w:val="28"/>
        </w:rPr>
        <w:t>（一）评价目的</w:t>
      </w:r>
      <w:bookmarkEnd w:id="37"/>
      <w:bookmarkEnd w:id="38"/>
    </w:p>
    <w:p w14:paraId="4EADFA0A">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展单位整体绩效评价是全面贯彻落实《中共江苏省委江苏省人民政府关于全面实施预算绩效管理的实施意见》的重要举措。开展单位整体绩效评价的目的是“促进单位从整体提升预算绩效管理工作水平及使用效益，保障单位更好地履行职责”，具体包括：</w:t>
      </w:r>
    </w:p>
    <w:p w14:paraId="035E3883">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通过对单位整体开展绩效评价，可以发现单位管理的薄弱环节，促进其改进和创新管理方式，提高管理效能和管理质量。同时，发现单位在提供公共服务方面存在的短板和不足，为有效提高财政资金配置水平和提升政府公共服务质量做出积极探索。</w:t>
      </w:r>
    </w:p>
    <w:p w14:paraId="50AABC20">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单位整体绩效评价更加关注单位财政资金的预算安排的合理性和整体效益，例如，资金结构与单位职能的匹配程度、预算规模对单位绩效目标实现的保障水平、资金的支出与单位所提供的公共服务的支持程度等，因此，单位整体绩效评价的覆盖面更广、层次更深，更能综合反映单位财政资金的综合效益。</w:t>
      </w:r>
    </w:p>
    <w:p w14:paraId="40FFFCDA">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9" w:name="_Toc6056"/>
      <w:bookmarkStart w:id="40" w:name="_Toc113465533"/>
      <w:r>
        <w:rPr>
          <w:rFonts w:hint="eastAsia" w:ascii="方正仿宋_GB2312" w:hAnsi="方正仿宋_GB2312" w:eastAsia="方正仿宋_GB2312" w:cs="方正仿宋_GB2312"/>
          <w:b/>
          <w:bCs/>
          <w:kern w:val="0"/>
          <w:sz w:val="28"/>
          <w:szCs w:val="28"/>
        </w:rPr>
        <w:t>（二）评价依据</w:t>
      </w:r>
      <w:bookmarkEnd w:id="39"/>
      <w:bookmarkEnd w:id="40"/>
    </w:p>
    <w:p w14:paraId="3794203F">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1.《财政支出绩效评价管理暂行办法》（财预〔2011〕285号）</w:t>
      </w:r>
    </w:p>
    <w:p w14:paraId="48A5DDB0">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2.《关于推进预算绩效管理的指导意见》（财预〔2011〕416号）</w:t>
      </w:r>
    </w:p>
    <w:p w14:paraId="1E3689BF">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3.《关于贯彻落实〈中共中央 国务院关于全面实施预算绩效管理的意见〉的通知》（财预〔2018〕167号）</w:t>
      </w:r>
    </w:p>
    <w:p w14:paraId="2D4F31F0">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4.《中共江苏省委 江苏省人民政府关于全面实施绩效管理的实施意见》（苏发〔2019〕6号）</w:t>
      </w:r>
    </w:p>
    <w:p w14:paraId="523B9DF3">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5.《南京市级财政预算绩效管理办法》（苏发〔2015〕1号）</w:t>
      </w:r>
    </w:p>
    <w:p w14:paraId="54276458">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6.《南京市人民政府关于印发南京市政府部门绩效管理暂行办法的通知》</w:t>
      </w:r>
      <w:bookmarkStart w:id="41" w:name="OLE_LINK1"/>
      <w:r>
        <w:rPr>
          <w:rFonts w:hint="eastAsia" w:ascii="方正仿宋_GB2312" w:hAnsi="方正仿宋_GB2312" w:eastAsia="方正仿宋_GB2312" w:cs="方正仿宋_GB2312"/>
          <w:sz w:val="28"/>
          <w:szCs w:val="28"/>
        </w:rPr>
        <w:t>（宁政发〔2012〕349号）</w:t>
      </w:r>
    </w:p>
    <w:bookmarkEnd w:id="41"/>
    <w:p w14:paraId="0641617C">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7.《南京市市级财政预算绩效评价操作规程（试行）》（宁财绩〔2020〕260号）</w:t>
      </w:r>
    </w:p>
    <w:p w14:paraId="15457989">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8.《关于印发2024年南京市市级预算部门（单位）绩效管理工作要求的通知》（宁财绩〔2024〕72号）</w:t>
      </w:r>
    </w:p>
    <w:p w14:paraId="25544C0C">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42" w:name="_Toc30908"/>
      <w:bookmarkStart w:id="43" w:name="_Toc113465534"/>
      <w:r>
        <w:rPr>
          <w:rFonts w:hint="eastAsia" w:ascii="方正仿宋_GB2312" w:hAnsi="方正仿宋_GB2312" w:eastAsia="方正仿宋_GB2312" w:cs="方正仿宋_GB2312"/>
          <w:b/>
          <w:bCs/>
          <w:kern w:val="0"/>
          <w:sz w:val="28"/>
          <w:szCs w:val="28"/>
        </w:rPr>
        <w:t>（三）评价原则</w:t>
      </w:r>
      <w:bookmarkEnd w:id="42"/>
      <w:bookmarkEnd w:id="43"/>
    </w:p>
    <w:p w14:paraId="2DF62295">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运用成本效益分析法、因素分析法、专家评审法等方法，具体通过文献梳理、调研访谈、制定评价指标和标准、数据采集、问卷调查等方式进行部门整体绩效综合评价。评价指标采取定量与定性相结合、优先定量的原则。</w:t>
      </w:r>
    </w:p>
    <w:p w14:paraId="569966C6">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44" w:name="_Toc15080"/>
      <w:r>
        <w:rPr>
          <w:rFonts w:hint="eastAsia" w:ascii="方正仿宋_GB2312" w:hAnsi="方正仿宋_GB2312" w:eastAsia="方正仿宋_GB2312" w:cs="方正仿宋_GB2312"/>
          <w:b/>
          <w:bCs/>
          <w:kern w:val="0"/>
          <w:sz w:val="28"/>
          <w:szCs w:val="28"/>
        </w:rPr>
        <w:t>（四）评价指标体系</w:t>
      </w:r>
      <w:bookmarkEnd w:id="44"/>
    </w:p>
    <w:p w14:paraId="5608A00E">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本次绩效评价指标体系分为三级指标。一级指标包括部门决策、过程、履职、效益及满意度五大部分。采用定性和定量相结合的方式，向下分解细化为14个二级指标，</w:t>
      </w:r>
      <w:r>
        <w:rPr>
          <w:rFonts w:hint="eastAsia" w:ascii="方正仿宋_GB2312" w:hAnsi="方正仿宋_GB2312" w:eastAsia="方正仿宋_GB2312" w:cs="方正仿宋_GB2312"/>
          <w:sz w:val="28"/>
          <w:szCs w:val="28"/>
          <w:lang w:val="en-US" w:eastAsia="zh-CN"/>
        </w:rPr>
        <w:t>40</w:t>
      </w:r>
      <w:r>
        <w:rPr>
          <w:rFonts w:hint="eastAsia" w:ascii="方正仿宋_GB2312" w:hAnsi="方正仿宋_GB2312" w:eastAsia="方正仿宋_GB2312" w:cs="方正仿宋_GB2312"/>
          <w:sz w:val="28"/>
          <w:szCs w:val="28"/>
        </w:rPr>
        <w:t>个三级指标，并按照各项指标考察的范围和重要性设置不同的标准值和权值，形成了本次绩效评价的指标体系。评分情况详见附件《2024年度南京市节能技术服务中心部门整体绩效自评价表》。</w:t>
      </w:r>
    </w:p>
    <w:p w14:paraId="23F12908">
      <w:pPr>
        <w:spacing w:line="560" w:lineRule="exact"/>
        <w:jc w:val="left"/>
        <w:rPr>
          <w:rFonts w:hint="eastAsia" w:ascii="方正仿宋_GB2312" w:hAnsi="方正仿宋_GB2312" w:eastAsia="方正仿宋_GB2312" w:cs="方正仿宋_GB2312"/>
          <w:sz w:val="28"/>
          <w:szCs w:val="28"/>
        </w:rPr>
      </w:pPr>
    </w:p>
    <w:p w14:paraId="75BFD99E">
      <w:pPr>
        <w:spacing w:line="560" w:lineRule="exact"/>
        <w:ind w:firstLine="560" w:firstLineChars="200"/>
        <w:jc w:val="left"/>
        <w:outlineLvl w:val="1"/>
        <w:rPr>
          <w:rFonts w:hint="eastAsia" w:ascii="方正仿宋_GB2312" w:hAnsi="方正仿宋_GB2312" w:eastAsia="方正仿宋_GB2312" w:cs="方正仿宋_GB2312"/>
          <w:sz w:val="28"/>
          <w:szCs w:val="28"/>
        </w:rPr>
      </w:pPr>
      <w:bookmarkStart w:id="45" w:name="_Toc22944"/>
      <w:r>
        <w:rPr>
          <w:rFonts w:hint="eastAsia" w:ascii="方正仿宋_GB2312" w:hAnsi="方正仿宋_GB2312" w:eastAsia="方正仿宋_GB2312" w:cs="方正仿宋_GB2312"/>
          <w:sz w:val="28"/>
          <w:szCs w:val="28"/>
        </w:rPr>
        <w:t>附件：《2024年度南京市节能技术服务中心部门整体绩效自评价表》</w:t>
      </w:r>
      <w:bookmarkEnd w:id="45"/>
    </w:p>
    <w:p w14:paraId="5C0C67B3">
      <w:pPr>
        <w:outlineLvl w:val="1"/>
        <w:rPr>
          <w:rFonts w:hint="eastAsia" w:ascii="方正仿宋_GB2312" w:hAnsi="方正仿宋_GB2312" w:eastAsia="方正仿宋_GB2312" w:cs="方正仿宋_GB2312"/>
        </w:rPr>
        <w:sectPr>
          <w:footerReference r:id="rId6" w:type="default"/>
          <w:pgSz w:w="11906" w:h="16838"/>
          <w:pgMar w:top="1440" w:right="1803" w:bottom="1440" w:left="1803" w:header="851" w:footer="992" w:gutter="0"/>
          <w:pgNumType w:start="1"/>
          <w:cols w:space="0" w:num="1"/>
          <w:docGrid w:type="lines" w:linePitch="312" w:charSpace="0"/>
        </w:sectPr>
      </w:pPr>
    </w:p>
    <w:tbl>
      <w:tblPr>
        <w:tblStyle w:val="15"/>
        <w:tblpPr w:leftFromText="180" w:rightFromText="180" w:vertAnchor="text" w:horzAnchor="page" w:tblpX="1430" w:tblpY="1099"/>
        <w:tblOverlap w:val="never"/>
        <w:tblW w:w="5000" w:type="pct"/>
        <w:tblInd w:w="0" w:type="dxa"/>
        <w:tblLayout w:type="autofit"/>
        <w:tblCellMar>
          <w:top w:w="0" w:type="dxa"/>
          <w:left w:w="108" w:type="dxa"/>
          <w:bottom w:w="0" w:type="dxa"/>
          <w:right w:w="108" w:type="dxa"/>
        </w:tblCellMar>
      </w:tblPr>
      <w:tblGrid>
        <w:gridCol w:w="896"/>
        <w:gridCol w:w="1001"/>
        <w:gridCol w:w="2455"/>
        <w:gridCol w:w="1318"/>
        <w:gridCol w:w="998"/>
        <w:gridCol w:w="4114"/>
        <w:gridCol w:w="1180"/>
        <w:gridCol w:w="896"/>
        <w:gridCol w:w="1316"/>
      </w:tblGrid>
      <w:tr w14:paraId="255D9FD1">
        <w:tblPrEx>
          <w:tblCellMar>
            <w:top w:w="0" w:type="dxa"/>
            <w:left w:w="108" w:type="dxa"/>
            <w:bottom w:w="0" w:type="dxa"/>
            <w:right w:w="108" w:type="dxa"/>
          </w:tblCellMar>
        </w:tblPrEx>
        <w:trPr>
          <w:trHeight w:val="600" w:hRule="atLeast"/>
          <w:tblHeader/>
        </w:trPr>
        <w:tc>
          <w:tcPr>
            <w:tcW w:w="4535" w:type="pct"/>
            <w:gridSpan w:val="8"/>
            <w:tcBorders>
              <w:top w:val="nil"/>
              <w:left w:val="nil"/>
              <w:bottom w:val="nil"/>
              <w:right w:val="nil"/>
            </w:tcBorders>
            <w:vAlign w:val="center"/>
          </w:tcPr>
          <w:p w14:paraId="62F32E0B">
            <w:pPr>
              <w:widowControl/>
              <w:jc w:val="center"/>
              <w:textAlignment w:val="center"/>
              <w:rPr>
                <w:rFonts w:hint="eastAsia" w:asciiTheme="minorEastAsia" w:hAnsiTheme="minorEastAsia" w:eastAsiaTheme="minorEastAsia" w:cstheme="minorEastAsia"/>
                <w:b/>
                <w:bCs/>
                <w:sz w:val="13"/>
                <w:szCs w:val="13"/>
              </w:rPr>
            </w:pPr>
            <w:r>
              <w:rPr>
                <w:rFonts w:hint="eastAsia" w:ascii="方正仿宋_GB2312" w:hAnsi="方正仿宋_GB2312" w:eastAsia="方正仿宋_GB2312" w:cs="方正仿宋_GB2312"/>
                <w:b/>
                <w:bCs/>
                <w:kern w:val="0"/>
                <w:sz w:val="28"/>
                <w:szCs w:val="28"/>
                <w:lang w:bidi="ar"/>
              </w:rPr>
              <w:t>2024年度南京市节能技术服务中心部门整体绩效自评价表</w:t>
            </w:r>
          </w:p>
        </w:tc>
        <w:tc>
          <w:tcPr>
            <w:tcW w:w="464" w:type="pct"/>
            <w:tcBorders>
              <w:top w:val="nil"/>
              <w:left w:val="nil"/>
              <w:bottom w:val="nil"/>
              <w:right w:val="nil"/>
            </w:tcBorders>
            <w:vAlign w:val="center"/>
          </w:tcPr>
          <w:p w14:paraId="263A4B0B">
            <w:pPr>
              <w:widowControl/>
              <w:jc w:val="center"/>
              <w:textAlignment w:val="center"/>
              <w:rPr>
                <w:rFonts w:hint="eastAsia" w:ascii="方正仿宋_GB2312" w:hAnsi="方正仿宋_GB2312" w:eastAsia="方正仿宋_GB2312" w:cs="方正仿宋_GB2312"/>
                <w:b/>
                <w:bCs/>
                <w:kern w:val="0"/>
                <w:sz w:val="28"/>
                <w:szCs w:val="28"/>
                <w:lang w:bidi="ar"/>
              </w:rPr>
            </w:pPr>
          </w:p>
        </w:tc>
      </w:tr>
      <w:tr w14:paraId="1041C212">
        <w:tblPrEx>
          <w:tblCellMar>
            <w:top w:w="0" w:type="dxa"/>
            <w:left w:w="108" w:type="dxa"/>
            <w:bottom w:w="0" w:type="dxa"/>
            <w:right w:w="108" w:type="dxa"/>
          </w:tblCellMar>
        </w:tblPrEx>
        <w:trPr>
          <w:trHeight w:val="600" w:hRule="atLeast"/>
          <w:tblHeader/>
        </w:trPr>
        <w:tc>
          <w:tcPr>
            <w:tcW w:w="316" w:type="pct"/>
            <w:tcBorders>
              <w:top w:val="single" w:color="000000" w:sz="4" w:space="0"/>
              <w:left w:val="single" w:color="000000" w:sz="4" w:space="0"/>
              <w:bottom w:val="single" w:color="000000" w:sz="4" w:space="0"/>
              <w:right w:val="single" w:color="000000" w:sz="4" w:space="0"/>
            </w:tcBorders>
            <w:vAlign w:val="center"/>
          </w:tcPr>
          <w:p w14:paraId="13C8DEF5">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一级指标</w:t>
            </w:r>
          </w:p>
        </w:tc>
        <w:tc>
          <w:tcPr>
            <w:tcW w:w="353" w:type="pct"/>
            <w:tcBorders>
              <w:top w:val="single" w:color="000000" w:sz="4" w:space="0"/>
              <w:left w:val="single" w:color="000000" w:sz="4" w:space="0"/>
              <w:bottom w:val="single" w:color="000000" w:sz="4" w:space="0"/>
              <w:right w:val="single" w:color="000000" w:sz="4" w:space="0"/>
            </w:tcBorders>
            <w:vAlign w:val="center"/>
          </w:tcPr>
          <w:p w14:paraId="1C1E222A">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二级指标</w:t>
            </w:r>
          </w:p>
        </w:tc>
        <w:tc>
          <w:tcPr>
            <w:tcW w:w="866" w:type="pct"/>
            <w:tcBorders>
              <w:top w:val="single" w:color="000000" w:sz="4" w:space="0"/>
              <w:left w:val="single" w:color="000000" w:sz="4" w:space="0"/>
              <w:bottom w:val="single" w:color="000000" w:sz="4" w:space="0"/>
              <w:right w:val="single" w:color="000000" w:sz="4" w:space="0"/>
            </w:tcBorders>
            <w:vAlign w:val="center"/>
          </w:tcPr>
          <w:p w14:paraId="4B1171D6">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三级指标</w:t>
            </w:r>
          </w:p>
        </w:tc>
        <w:tc>
          <w:tcPr>
            <w:tcW w:w="464" w:type="pct"/>
            <w:tcBorders>
              <w:top w:val="single" w:color="000000" w:sz="4" w:space="0"/>
              <w:left w:val="single" w:color="000000" w:sz="4" w:space="0"/>
              <w:bottom w:val="single" w:color="000000" w:sz="4" w:space="0"/>
              <w:right w:val="single" w:color="000000" w:sz="4" w:space="0"/>
            </w:tcBorders>
            <w:vAlign w:val="center"/>
          </w:tcPr>
          <w:p w14:paraId="7748EAA4">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全年指标值</w:t>
            </w:r>
          </w:p>
        </w:tc>
        <w:tc>
          <w:tcPr>
            <w:tcW w:w="352" w:type="pct"/>
            <w:tcBorders>
              <w:top w:val="single" w:color="000000" w:sz="4" w:space="0"/>
              <w:left w:val="single" w:color="000000" w:sz="4" w:space="0"/>
              <w:bottom w:val="single" w:color="000000" w:sz="4" w:space="0"/>
              <w:right w:val="single" w:color="000000" w:sz="4" w:space="0"/>
            </w:tcBorders>
            <w:vAlign w:val="center"/>
          </w:tcPr>
          <w:p w14:paraId="435E95DB">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分值</w:t>
            </w:r>
          </w:p>
        </w:tc>
        <w:tc>
          <w:tcPr>
            <w:tcW w:w="1451" w:type="pct"/>
            <w:tcBorders>
              <w:top w:val="single" w:color="000000" w:sz="4" w:space="0"/>
              <w:left w:val="single" w:color="000000" w:sz="4" w:space="0"/>
              <w:bottom w:val="single" w:color="000000" w:sz="4" w:space="0"/>
              <w:right w:val="single" w:color="000000" w:sz="4" w:space="0"/>
            </w:tcBorders>
            <w:vAlign w:val="center"/>
          </w:tcPr>
          <w:p w14:paraId="1EA7CB33">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评价要点及评分规则</w:t>
            </w:r>
          </w:p>
        </w:tc>
        <w:tc>
          <w:tcPr>
            <w:tcW w:w="416" w:type="pct"/>
            <w:tcBorders>
              <w:top w:val="single" w:color="000000" w:sz="4" w:space="0"/>
              <w:left w:val="single" w:color="000000" w:sz="4" w:space="0"/>
              <w:bottom w:val="single" w:color="000000" w:sz="4" w:space="0"/>
              <w:right w:val="single" w:color="000000" w:sz="4" w:space="0"/>
            </w:tcBorders>
            <w:vAlign w:val="center"/>
          </w:tcPr>
          <w:p w14:paraId="262B38CC">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实际完成值</w:t>
            </w:r>
          </w:p>
        </w:tc>
        <w:tc>
          <w:tcPr>
            <w:tcW w:w="316" w:type="pct"/>
            <w:tcBorders>
              <w:top w:val="single" w:color="000000" w:sz="4" w:space="0"/>
              <w:left w:val="single" w:color="000000" w:sz="4" w:space="0"/>
              <w:bottom w:val="single" w:color="000000" w:sz="4" w:space="0"/>
              <w:right w:val="single" w:color="000000" w:sz="4" w:space="0"/>
            </w:tcBorders>
            <w:vAlign w:val="center"/>
          </w:tcPr>
          <w:p w14:paraId="632EB8B5">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得分</w:t>
            </w:r>
          </w:p>
        </w:tc>
        <w:tc>
          <w:tcPr>
            <w:tcW w:w="464" w:type="pct"/>
            <w:tcBorders>
              <w:top w:val="single" w:color="000000" w:sz="4" w:space="0"/>
              <w:left w:val="single" w:color="000000" w:sz="4" w:space="0"/>
              <w:bottom w:val="single" w:color="000000" w:sz="4" w:space="0"/>
              <w:right w:val="single" w:color="000000" w:sz="4" w:space="0"/>
            </w:tcBorders>
            <w:vAlign w:val="center"/>
          </w:tcPr>
          <w:p w14:paraId="1270E65A">
            <w:pPr>
              <w:widowControl/>
              <w:jc w:val="center"/>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b/>
                <w:bCs/>
                <w:kern w:val="0"/>
                <w:sz w:val="15"/>
                <w:szCs w:val="15"/>
                <w:lang w:bidi="ar"/>
              </w:rPr>
              <w:t>备注</w:t>
            </w:r>
          </w:p>
        </w:tc>
      </w:tr>
      <w:tr w14:paraId="38E4185D">
        <w:tblPrEx>
          <w:tblCellMar>
            <w:top w:w="0" w:type="dxa"/>
            <w:left w:w="108" w:type="dxa"/>
            <w:bottom w:w="0" w:type="dxa"/>
            <w:right w:w="108" w:type="dxa"/>
          </w:tblCellMar>
        </w:tblPrEx>
        <w:trPr>
          <w:trHeight w:val="2160" w:hRule="atLeast"/>
        </w:trPr>
        <w:tc>
          <w:tcPr>
            <w:tcW w:w="316" w:type="pct"/>
            <w:vMerge w:val="restart"/>
            <w:tcBorders>
              <w:top w:val="single" w:color="000000" w:sz="4" w:space="0"/>
              <w:left w:val="single" w:color="000000" w:sz="4" w:space="0"/>
              <w:bottom w:val="single" w:color="000000" w:sz="4" w:space="0"/>
              <w:right w:val="single" w:color="000000" w:sz="4" w:space="0"/>
            </w:tcBorders>
            <w:vAlign w:val="center"/>
          </w:tcPr>
          <w:p w14:paraId="45BEE8E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部门决策（6）</w:t>
            </w:r>
          </w:p>
        </w:tc>
        <w:tc>
          <w:tcPr>
            <w:tcW w:w="353" w:type="pct"/>
            <w:vMerge w:val="restart"/>
            <w:tcBorders>
              <w:top w:val="single" w:color="000000" w:sz="4" w:space="0"/>
              <w:left w:val="single" w:color="000000" w:sz="4" w:space="0"/>
              <w:bottom w:val="single" w:color="000000" w:sz="4" w:space="0"/>
              <w:right w:val="nil"/>
            </w:tcBorders>
            <w:shd w:val="clear" w:color="auto" w:fill="FFFFFF"/>
            <w:vAlign w:val="center"/>
          </w:tcPr>
          <w:p w14:paraId="47FADBB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计划制定（2）</w:t>
            </w:r>
          </w:p>
        </w:tc>
        <w:tc>
          <w:tcPr>
            <w:tcW w:w="866" w:type="pct"/>
            <w:tcBorders>
              <w:top w:val="single" w:color="000000" w:sz="4" w:space="0"/>
              <w:left w:val="single" w:color="000000" w:sz="4" w:space="0"/>
              <w:bottom w:val="single" w:color="000000" w:sz="4" w:space="0"/>
              <w:right w:val="single" w:color="000000" w:sz="4" w:space="0"/>
            </w:tcBorders>
            <w:vAlign w:val="center"/>
          </w:tcPr>
          <w:p w14:paraId="7DCC9D00">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中长期规划</w:t>
            </w:r>
            <w:r>
              <w:rPr>
                <w:rFonts w:hint="eastAsia" w:asciiTheme="minorEastAsia" w:hAnsiTheme="minorEastAsia" w:eastAsiaTheme="minorEastAsia" w:cstheme="minorEastAsia"/>
                <w:kern w:val="0"/>
                <w:sz w:val="15"/>
                <w:szCs w:val="15"/>
                <w:lang w:eastAsia="zh-CN" w:bidi="ar"/>
              </w:rPr>
              <w:t>制定</w:t>
            </w:r>
            <w:r>
              <w:rPr>
                <w:rFonts w:hint="eastAsia" w:asciiTheme="minorEastAsia" w:hAnsiTheme="minorEastAsia" w:eastAsiaTheme="minorEastAsia" w:cstheme="minorEastAsia"/>
                <w:kern w:val="0"/>
                <w:sz w:val="15"/>
                <w:szCs w:val="15"/>
                <w:lang w:bidi="ar"/>
              </w:rPr>
              <w:t>健全性</w:t>
            </w:r>
          </w:p>
        </w:tc>
        <w:tc>
          <w:tcPr>
            <w:tcW w:w="464" w:type="pct"/>
            <w:tcBorders>
              <w:top w:val="single" w:color="000000" w:sz="4" w:space="0"/>
              <w:left w:val="single" w:color="000000" w:sz="4" w:space="0"/>
              <w:bottom w:val="single" w:color="000000" w:sz="4" w:space="0"/>
              <w:right w:val="single" w:color="000000" w:sz="4" w:space="0"/>
            </w:tcBorders>
            <w:vAlign w:val="center"/>
          </w:tcPr>
          <w:p w14:paraId="2DB003C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000000" w:sz="4" w:space="0"/>
              <w:left w:val="single" w:color="000000" w:sz="4" w:space="0"/>
              <w:bottom w:val="single" w:color="000000" w:sz="4" w:space="0"/>
              <w:right w:val="single" w:color="000000" w:sz="4" w:space="0"/>
            </w:tcBorders>
            <w:vAlign w:val="center"/>
          </w:tcPr>
          <w:p w14:paraId="548EEAF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1C030837">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评价要点：①是否制定了明确的中长期规划，包括总体目标、工作内容、时间进度等；②中长期规划是否涵盖了部门全部职能，并与部门职能相匹配。</w:t>
            </w:r>
          </w:p>
          <w:p w14:paraId="4879E4E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 1/2 分值，每个要点执行情况分为达成、部分达成、未达成三档，分别按分值的 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074F7BC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000000" w:sz="4" w:space="0"/>
              <w:left w:val="single" w:color="000000" w:sz="4" w:space="0"/>
              <w:bottom w:val="single" w:color="000000" w:sz="4" w:space="0"/>
              <w:right w:val="single" w:color="000000" w:sz="4" w:space="0"/>
            </w:tcBorders>
            <w:vAlign w:val="center"/>
          </w:tcPr>
          <w:p w14:paraId="0F4CB04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0C12661D">
            <w:pPr>
              <w:widowControl/>
              <w:jc w:val="center"/>
              <w:textAlignment w:val="center"/>
              <w:rPr>
                <w:rFonts w:hint="eastAsia" w:asciiTheme="minorEastAsia" w:hAnsiTheme="minorEastAsia" w:eastAsiaTheme="minorEastAsia" w:cstheme="minorEastAsia"/>
                <w:kern w:val="0"/>
                <w:sz w:val="15"/>
                <w:szCs w:val="15"/>
                <w:lang w:bidi="ar"/>
              </w:rPr>
            </w:pPr>
          </w:p>
        </w:tc>
      </w:tr>
      <w:tr w14:paraId="2CE3C1D5">
        <w:tblPrEx>
          <w:tblCellMar>
            <w:top w:w="0" w:type="dxa"/>
            <w:left w:w="108" w:type="dxa"/>
            <w:bottom w:w="0" w:type="dxa"/>
            <w:right w:w="108" w:type="dxa"/>
          </w:tblCellMar>
        </w:tblPrEx>
        <w:trPr>
          <w:trHeight w:val="184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2187799C">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auto" w:sz="4" w:space="0"/>
              <w:right w:val="nil"/>
            </w:tcBorders>
            <w:shd w:val="clear" w:color="auto" w:fill="FFFFFF"/>
            <w:vAlign w:val="center"/>
          </w:tcPr>
          <w:p w14:paraId="655116A2">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auto" w:sz="4" w:space="0"/>
              <w:right w:val="single" w:color="000000" w:sz="4" w:space="0"/>
            </w:tcBorders>
            <w:vAlign w:val="center"/>
          </w:tcPr>
          <w:p w14:paraId="72DE313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工作计划</w:t>
            </w:r>
            <w:r>
              <w:rPr>
                <w:rFonts w:hint="eastAsia" w:asciiTheme="minorEastAsia" w:hAnsiTheme="minorEastAsia" w:eastAsiaTheme="minorEastAsia" w:cstheme="minorEastAsia"/>
                <w:kern w:val="0"/>
                <w:sz w:val="15"/>
                <w:szCs w:val="15"/>
                <w:lang w:eastAsia="zh-CN" w:bidi="ar"/>
              </w:rPr>
              <w:t>制定</w:t>
            </w:r>
            <w:r>
              <w:rPr>
                <w:rFonts w:hint="eastAsia" w:asciiTheme="minorEastAsia" w:hAnsiTheme="minorEastAsia" w:eastAsiaTheme="minorEastAsia" w:cstheme="minorEastAsia"/>
                <w:kern w:val="0"/>
                <w:sz w:val="15"/>
                <w:szCs w:val="15"/>
                <w:lang w:bidi="ar"/>
              </w:rPr>
              <w:t>健全性</w:t>
            </w:r>
          </w:p>
        </w:tc>
        <w:tc>
          <w:tcPr>
            <w:tcW w:w="464" w:type="pct"/>
            <w:tcBorders>
              <w:top w:val="nil"/>
              <w:left w:val="single" w:color="000000" w:sz="4" w:space="0"/>
              <w:bottom w:val="single" w:color="auto" w:sz="4" w:space="0"/>
              <w:right w:val="single" w:color="000000" w:sz="4" w:space="0"/>
            </w:tcBorders>
            <w:vAlign w:val="center"/>
          </w:tcPr>
          <w:p w14:paraId="51123E0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nil"/>
              <w:left w:val="single" w:color="000000" w:sz="4" w:space="0"/>
              <w:bottom w:val="single" w:color="auto" w:sz="4" w:space="0"/>
              <w:right w:val="single" w:color="000000" w:sz="4" w:space="0"/>
            </w:tcBorders>
            <w:vAlign w:val="center"/>
          </w:tcPr>
          <w:p w14:paraId="43E27DE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nil"/>
              <w:left w:val="single" w:color="000000" w:sz="4" w:space="0"/>
              <w:bottom w:val="single" w:color="auto" w:sz="4" w:space="0"/>
              <w:right w:val="single" w:color="000000" w:sz="4" w:space="0"/>
            </w:tcBorders>
            <w:vAlign w:val="center"/>
          </w:tcPr>
          <w:p w14:paraId="06002FD5">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制定了明确的年度工作计划，包括总体目标、实施内容、时间、资金、人员等；②年度工作计划是否具体、可操作；③年度工作计划是否与部门职能相匹配；④年度工作计划是否与部门中长期战略相衔接。</w:t>
            </w:r>
          </w:p>
          <w:p w14:paraId="601ACA3C">
            <w:pPr>
              <w:widowControl/>
              <w:jc w:val="left"/>
              <w:textAlignment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kern w:val="0"/>
                <w:sz w:val="15"/>
                <w:szCs w:val="15"/>
                <w:lang w:bidi="ar"/>
              </w:rPr>
              <w:t>评分规则：以上评价要点各占 1/4 分值，每个要点执行情况分为达成、部分达成、未达成三档，分别按分值的 100%-80%（含）、80%-60%（含）、60%-0%合理确定分值</w:t>
            </w:r>
            <w:r>
              <w:rPr>
                <w:rFonts w:hint="eastAsia" w:asciiTheme="minorEastAsia" w:hAnsiTheme="minorEastAsia" w:eastAsiaTheme="minorEastAsia" w:cstheme="minorEastAsia"/>
                <w:kern w:val="0"/>
                <w:sz w:val="15"/>
                <w:szCs w:val="15"/>
                <w:lang w:eastAsia="zh-CN" w:bidi="ar"/>
              </w:rPr>
              <w:t>。</w:t>
            </w:r>
          </w:p>
        </w:tc>
        <w:tc>
          <w:tcPr>
            <w:tcW w:w="416" w:type="pct"/>
            <w:tcBorders>
              <w:top w:val="nil"/>
              <w:left w:val="single" w:color="000000" w:sz="4" w:space="0"/>
              <w:bottom w:val="single" w:color="000000" w:sz="4" w:space="0"/>
              <w:right w:val="single" w:color="000000" w:sz="4" w:space="0"/>
            </w:tcBorders>
            <w:vAlign w:val="center"/>
          </w:tcPr>
          <w:p w14:paraId="7ECD38F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nil"/>
              <w:left w:val="single" w:color="000000" w:sz="4" w:space="0"/>
              <w:bottom w:val="single" w:color="000000" w:sz="4" w:space="0"/>
              <w:right w:val="single" w:color="000000" w:sz="4" w:space="0"/>
            </w:tcBorders>
            <w:vAlign w:val="center"/>
          </w:tcPr>
          <w:p w14:paraId="220F150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nil"/>
              <w:left w:val="single" w:color="000000" w:sz="4" w:space="0"/>
              <w:bottom w:val="single" w:color="000000" w:sz="4" w:space="0"/>
              <w:right w:val="single" w:color="000000" w:sz="4" w:space="0"/>
            </w:tcBorders>
            <w:vAlign w:val="center"/>
          </w:tcPr>
          <w:p w14:paraId="37A76BEA">
            <w:pPr>
              <w:widowControl/>
              <w:jc w:val="center"/>
              <w:textAlignment w:val="center"/>
              <w:rPr>
                <w:rFonts w:hint="eastAsia" w:asciiTheme="minorEastAsia" w:hAnsiTheme="minorEastAsia" w:eastAsiaTheme="minorEastAsia" w:cstheme="minorEastAsia"/>
                <w:kern w:val="0"/>
                <w:sz w:val="15"/>
                <w:szCs w:val="15"/>
                <w:lang w:bidi="ar"/>
              </w:rPr>
            </w:pPr>
          </w:p>
        </w:tc>
      </w:tr>
      <w:tr w14:paraId="711A7AB0">
        <w:tblPrEx>
          <w:tblCellMar>
            <w:top w:w="0" w:type="dxa"/>
            <w:left w:w="108" w:type="dxa"/>
            <w:bottom w:w="0" w:type="dxa"/>
            <w:right w:w="108" w:type="dxa"/>
          </w:tblCellMar>
        </w:tblPrEx>
        <w:trPr>
          <w:trHeight w:val="218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388FC958">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auto" w:sz="4" w:space="0"/>
              <w:bottom w:val="nil"/>
              <w:right w:val="nil"/>
            </w:tcBorders>
            <w:shd w:val="clear" w:color="auto" w:fill="FFFFFF"/>
            <w:vAlign w:val="center"/>
          </w:tcPr>
          <w:p w14:paraId="7F2BFAF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目标设定（2）</w:t>
            </w:r>
          </w:p>
        </w:tc>
        <w:tc>
          <w:tcPr>
            <w:tcW w:w="866" w:type="pct"/>
            <w:tcBorders>
              <w:top w:val="single" w:color="auto" w:sz="4" w:space="0"/>
              <w:left w:val="single" w:color="000000" w:sz="4" w:space="0"/>
              <w:bottom w:val="single" w:color="000000" w:sz="4" w:space="0"/>
              <w:right w:val="single" w:color="000000" w:sz="4" w:space="0"/>
            </w:tcBorders>
            <w:vAlign w:val="center"/>
          </w:tcPr>
          <w:p w14:paraId="55472F24">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绩效目标合理性</w:t>
            </w:r>
          </w:p>
        </w:tc>
        <w:tc>
          <w:tcPr>
            <w:tcW w:w="464" w:type="pct"/>
            <w:tcBorders>
              <w:top w:val="single" w:color="auto" w:sz="4" w:space="0"/>
              <w:left w:val="single" w:color="000000" w:sz="4" w:space="0"/>
              <w:bottom w:val="single" w:color="000000" w:sz="4" w:space="0"/>
              <w:right w:val="single" w:color="000000" w:sz="4" w:space="0"/>
            </w:tcBorders>
            <w:vAlign w:val="center"/>
          </w:tcPr>
          <w:p w14:paraId="26E8637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合理</w:t>
            </w:r>
          </w:p>
        </w:tc>
        <w:tc>
          <w:tcPr>
            <w:tcW w:w="352" w:type="pct"/>
            <w:tcBorders>
              <w:top w:val="single" w:color="auto" w:sz="4" w:space="0"/>
              <w:left w:val="single" w:color="000000" w:sz="4" w:space="0"/>
              <w:bottom w:val="single" w:color="000000" w:sz="4" w:space="0"/>
              <w:right w:val="single" w:color="000000" w:sz="4" w:space="0"/>
            </w:tcBorders>
            <w:vAlign w:val="center"/>
          </w:tcPr>
          <w:p w14:paraId="3C3C17C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000000" w:sz="4" w:space="0"/>
              <w:right w:val="single" w:color="auto" w:sz="4" w:space="0"/>
            </w:tcBorders>
            <w:vAlign w:val="center"/>
          </w:tcPr>
          <w:p w14:paraId="686927CC">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评价要点：①是否符合国家法律法规、国民经济和社会发展总体规划、部门“三定”方案确定的职责；②是否符合部门制定的中长期规划和年度工作计划；③是否与本年度部门预算资金相匹配。</w:t>
            </w:r>
          </w:p>
          <w:p w14:paraId="2528BCA4">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评分规则：以上评价要点各占1/3分值，每个要点执行情况分为达成、部分达成、未达成三档，分别按分值的100%-80%（含）、80%-60%（含）、60%-0%合理确定分值。</w:t>
            </w:r>
          </w:p>
        </w:tc>
        <w:tc>
          <w:tcPr>
            <w:tcW w:w="416" w:type="pct"/>
            <w:tcBorders>
              <w:top w:val="single" w:color="000000" w:sz="4" w:space="0"/>
              <w:left w:val="single" w:color="auto" w:sz="4" w:space="0"/>
              <w:bottom w:val="single" w:color="000000" w:sz="4" w:space="0"/>
              <w:right w:val="single" w:color="000000" w:sz="4" w:space="0"/>
            </w:tcBorders>
            <w:vAlign w:val="center"/>
          </w:tcPr>
          <w:p w14:paraId="26D998E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合理</w:t>
            </w:r>
          </w:p>
        </w:tc>
        <w:tc>
          <w:tcPr>
            <w:tcW w:w="316" w:type="pct"/>
            <w:tcBorders>
              <w:top w:val="single" w:color="000000" w:sz="4" w:space="0"/>
              <w:left w:val="single" w:color="000000" w:sz="4" w:space="0"/>
              <w:bottom w:val="single" w:color="000000" w:sz="4" w:space="0"/>
              <w:right w:val="single" w:color="000000" w:sz="4" w:space="0"/>
            </w:tcBorders>
            <w:vAlign w:val="center"/>
          </w:tcPr>
          <w:p w14:paraId="04CB87A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0F209C57">
            <w:pPr>
              <w:widowControl/>
              <w:jc w:val="center"/>
              <w:textAlignment w:val="center"/>
              <w:rPr>
                <w:rFonts w:hint="eastAsia" w:asciiTheme="minorEastAsia" w:hAnsiTheme="minorEastAsia" w:eastAsiaTheme="minorEastAsia" w:cstheme="minorEastAsia"/>
                <w:kern w:val="0"/>
                <w:sz w:val="15"/>
                <w:szCs w:val="15"/>
                <w:lang w:bidi="ar"/>
              </w:rPr>
            </w:pPr>
          </w:p>
        </w:tc>
      </w:tr>
      <w:tr w14:paraId="7961746B">
        <w:tblPrEx>
          <w:tblCellMar>
            <w:top w:w="0" w:type="dxa"/>
            <w:left w:w="108" w:type="dxa"/>
            <w:bottom w:w="0" w:type="dxa"/>
            <w:right w:w="108" w:type="dxa"/>
          </w:tblCellMar>
        </w:tblPrEx>
        <w:trPr>
          <w:trHeight w:val="200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1FE19DE9">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nil"/>
              <w:right w:val="nil"/>
            </w:tcBorders>
            <w:shd w:val="clear" w:color="auto" w:fill="FFFFFF"/>
            <w:vAlign w:val="center"/>
          </w:tcPr>
          <w:p w14:paraId="2D73C3BF">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4D29308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绩效指标明确性</w:t>
            </w:r>
          </w:p>
        </w:tc>
        <w:tc>
          <w:tcPr>
            <w:tcW w:w="464" w:type="pct"/>
            <w:tcBorders>
              <w:top w:val="single" w:color="000000" w:sz="4" w:space="0"/>
              <w:left w:val="single" w:color="000000" w:sz="4" w:space="0"/>
              <w:bottom w:val="single" w:color="000000" w:sz="4" w:space="0"/>
              <w:right w:val="single" w:color="000000" w:sz="4" w:space="0"/>
            </w:tcBorders>
            <w:vAlign w:val="center"/>
          </w:tcPr>
          <w:p w14:paraId="4037A97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明确</w:t>
            </w:r>
          </w:p>
        </w:tc>
        <w:tc>
          <w:tcPr>
            <w:tcW w:w="352" w:type="pct"/>
            <w:tcBorders>
              <w:top w:val="single" w:color="000000" w:sz="4" w:space="0"/>
              <w:left w:val="single" w:color="000000" w:sz="4" w:space="0"/>
              <w:bottom w:val="single" w:color="000000" w:sz="4" w:space="0"/>
              <w:right w:val="single" w:color="000000" w:sz="4" w:space="0"/>
            </w:tcBorders>
            <w:vAlign w:val="center"/>
          </w:tcPr>
          <w:p w14:paraId="326C64A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auto" w:sz="4" w:space="0"/>
            </w:tcBorders>
            <w:vAlign w:val="center"/>
          </w:tcPr>
          <w:p w14:paraId="035E96F7">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评价要点：①是否将部门整体预算绩效目标细化分解为具体的重点工作任务；②部门整体及项目的绩效指标是否清晰，指标值是否量化、可衡量；③是否与年度重点工作任务数相对应，并突出核心绩效指标。</w:t>
            </w:r>
          </w:p>
          <w:p w14:paraId="5ED246F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评分规则：以上评价要点各占1/3分值，每个要点执行情况分为达成、部分达成、未达成三档，分别按分值的100%-80%（含）、80%-60%（含）、60%-0%合理确定分值。</w:t>
            </w:r>
          </w:p>
        </w:tc>
        <w:tc>
          <w:tcPr>
            <w:tcW w:w="416" w:type="pct"/>
            <w:tcBorders>
              <w:top w:val="single" w:color="000000" w:sz="4" w:space="0"/>
              <w:left w:val="single" w:color="auto" w:sz="4" w:space="0"/>
              <w:bottom w:val="single" w:color="000000" w:sz="4" w:space="0"/>
              <w:right w:val="single" w:color="000000" w:sz="4" w:space="0"/>
            </w:tcBorders>
            <w:vAlign w:val="center"/>
          </w:tcPr>
          <w:p w14:paraId="43F945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明确</w:t>
            </w:r>
          </w:p>
        </w:tc>
        <w:tc>
          <w:tcPr>
            <w:tcW w:w="316" w:type="pct"/>
            <w:tcBorders>
              <w:top w:val="single" w:color="000000" w:sz="4" w:space="0"/>
              <w:left w:val="single" w:color="000000" w:sz="4" w:space="0"/>
              <w:bottom w:val="single" w:color="000000" w:sz="4" w:space="0"/>
              <w:right w:val="single" w:color="000000" w:sz="4" w:space="0"/>
            </w:tcBorders>
            <w:vAlign w:val="center"/>
          </w:tcPr>
          <w:p w14:paraId="4CE37C9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4E2EEDB1">
            <w:pPr>
              <w:widowControl/>
              <w:jc w:val="center"/>
              <w:textAlignment w:val="center"/>
              <w:rPr>
                <w:rFonts w:hint="eastAsia" w:asciiTheme="minorEastAsia" w:hAnsiTheme="minorEastAsia" w:eastAsiaTheme="minorEastAsia" w:cstheme="minorEastAsia"/>
                <w:kern w:val="0"/>
                <w:sz w:val="15"/>
                <w:szCs w:val="15"/>
                <w:lang w:bidi="ar"/>
              </w:rPr>
            </w:pPr>
          </w:p>
        </w:tc>
      </w:tr>
      <w:tr w14:paraId="11FD8249">
        <w:tblPrEx>
          <w:tblCellMar>
            <w:top w:w="0" w:type="dxa"/>
            <w:left w:w="108" w:type="dxa"/>
            <w:bottom w:w="0" w:type="dxa"/>
            <w:right w:w="108" w:type="dxa"/>
          </w:tblCellMar>
        </w:tblPrEx>
        <w:trPr>
          <w:trHeight w:val="206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2ABC13E6">
            <w:pPr>
              <w:jc w:val="center"/>
              <w:rPr>
                <w:rFonts w:hint="eastAsia" w:asciiTheme="minorEastAsia" w:hAnsiTheme="minorEastAsia" w:eastAsiaTheme="minorEastAsia" w:cstheme="minorEastAsia"/>
                <w:sz w:val="15"/>
                <w:szCs w:val="15"/>
              </w:rPr>
            </w:pPr>
          </w:p>
        </w:tc>
        <w:tc>
          <w:tcPr>
            <w:tcW w:w="353" w:type="pct"/>
            <w:vMerge w:val="restart"/>
            <w:tcBorders>
              <w:top w:val="single" w:color="000000" w:sz="4" w:space="0"/>
              <w:left w:val="single" w:color="auto" w:sz="4" w:space="0"/>
              <w:bottom w:val="single" w:color="auto" w:sz="4" w:space="0"/>
              <w:right w:val="single" w:color="000000" w:sz="4" w:space="0"/>
            </w:tcBorders>
            <w:shd w:val="clear" w:color="auto" w:fill="FFFFFF"/>
            <w:vAlign w:val="center"/>
          </w:tcPr>
          <w:p w14:paraId="0C542F1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预算编制（2）</w:t>
            </w:r>
          </w:p>
        </w:tc>
        <w:tc>
          <w:tcPr>
            <w:tcW w:w="866" w:type="pct"/>
            <w:tcBorders>
              <w:top w:val="single" w:color="000000" w:sz="4" w:space="0"/>
              <w:left w:val="single" w:color="000000" w:sz="4" w:space="0"/>
              <w:bottom w:val="single" w:color="auto" w:sz="4" w:space="0"/>
              <w:right w:val="single" w:color="000000" w:sz="4" w:space="0"/>
            </w:tcBorders>
            <w:vAlign w:val="center"/>
          </w:tcPr>
          <w:p w14:paraId="149FDC6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预算编制科学性</w:t>
            </w:r>
          </w:p>
        </w:tc>
        <w:tc>
          <w:tcPr>
            <w:tcW w:w="464" w:type="pct"/>
            <w:tcBorders>
              <w:top w:val="single" w:color="000000" w:sz="4" w:space="0"/>
              <w:left w:val="single" w:color="000000" w:sz="4" w:space="0"/>
              <w:bottom w:val="single" w:color="auto" w:sz="4" w:space="0"/>
              <w:right w:val="single" w:color="000000" w:sz="4" w:space="0"/>
            </w:tcBorders>
            <w:vAlign w:val="center"/>
          </w:tcPr>
          <w:p w14:paraId="53D71AB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科学</w:t>
            </w:r>
          </w:p>
        </w:tc>
        <w:tc>
          <w:tcPr>
            <w:tcW w:w="352" w:type="pct"/>
            <w:tcBorders>
              <w:top w:val="single" w:color="000000" w:sz="4" w:space="0"/>
              <w:left w:val="single" w:color="000000" w:sz="4" w:space="0"/>
              <w:bottom w:val="single" w:color="auto" w:sz="4" w:space="0"/>
              <w:right w:val="single" w:color="000000" w:sz="4" w:space="0"/>
            </w:tcBorders>
            <w:vAlign w:val="center"/>
          </w:tcPr>
          <w:p w14:paraId="7E29646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auto" w:sz="4" w:space="0"/>
              <w:right w:val="single" w:color="auto" w:sz="4" w:space="0"/>
            </w:tcBorders>
            <w:vAlign w:val="center"/>
          </w:tcPr>
          <w:p w14:paraId="14FEAA67">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评价要点：①预算编制是否经过科学论证；②预算内容与项目内容是否匹配；③预算额度测算依据是否充分，按照标准编制；④预算确定的项目投资额或资金量是否与工作任务相匹配。</w:t>
            </w:r>
          </w:p>
          <w:p w14:paraId="08DBEE30">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评分规则：指标完成情况分为达成、部分达成、未达成三档，分别按指标分值的100%-80%（含）、80%-60%（含）、60%-0%合理确定分值。</w:t>
            </w:r>
          </w:p>
        </w:tc>
        <w:tc>
          <w:tcPr>
            <w:tcW w:w="416" w:type="pct"/>
            <w:tcBorders>
              <w:top w:val="single" w:color="000000" w:sz="4" w:space="0"/>
              <w:left w:val="single" w:color="auto" w:sz="4" w:space="0"/>
              <w:bottom w:val="single" w:color="000000" w:sz="4" w:space="0"/>
              <w:right w:val="single" w:color="000000" w:sz="4" w:space="0"/>
            </w:tcBorders>
            <w:vAlign w:val="center"/>
          </w:tcPr>
          <w:p w14:paraId="784D66D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科学</w:t>
            </w:r>
          </w:p>
        </w:tc>
        <w:tc>
          <w:tcPr>
            <w:tcW w:w="316" w:type="pct"/>
            <w:tcBorders>
              <w:top w:val="single" w:color="000000" w:sz="4" w:space="0"/>
              <w:left w:val="single" w:color="000000" w:sz="4" w:space="0"/>
              <w:bottom w:val="single" w:color="000000" w:sz="4" w:space="0"/>
              <w:right w:val="single" w:color="000000" w:sz="4" w:space="0"/>
            </w:tcBorders>
            <w:vAlign w:val="center"/>
          </w:tcPr>
          <w:p w14:paraId="4C6EA01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4B01754A">
            <w:pPr>
              <w:widowControl/>
              <w:jc w:val="center"/>
              <w:textAlignment w:val="center"/>
              <w:rPr>
                <w:rFonts w:hint="eastAsia" w:asciiTheme="minorEastAsia" w:hAnsiTheme="minorEastAsia" w:eastAsiaTheme="minorEastAsia" w:cstheme="minorEastAsia"/>
                <w:kern w:val="0"/>
                <w:sz w:val="15"/>
                <w:szCs w:val="15"/>
                <w:lang w:bidi="ar"/>
              </w:rPr>
            </w:pPr>
          </w:p>
        </w:tc>
      </w:tr>
      <w:tr w14:paraId="4DC0241C">
        <w:tblPrEx>
          <w:tblCellMar>
            <w:top w:w="0" w:type="dxa"/>
            <w:left w:w="108" w:type="dxa"/>
            <w:bottom w:w="0" w:type="dxa"/>
            <w:right w:w="108" w:type="dxa"/>
          </w:tblCellMar>
        </w:tblPrEx>
        <w:trPr>
          <w:trHeight w:val="180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457BDB4C">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nil"/>
              <w:right w:val="single" w:color="000000" w:sz="4" w:space="0"/>
            </w:tcBorders>
            <w:shd w:val="clear" w:color="auto" w:fill="FFFFFF"/>
            <w:vAlign w:val="center"/>
          </w:tcPr>
          <w:p w14:paraId="3B98D5F7">
            <w:pPr>
              <w:jc w:val="center"/>
              <w:rPr>
                <w:rFonts w:hint="eastAsia" w:asciiTheme="minorEastAsia" w:hAnsiTheme="minorEastAsia" w:eastAsiaTheme="minorEastAsia" w:cstheme="minorEastAsia"/>
                <w:sz w:val="15"/>
                <w:szCs w:val="15"/>
              </w:rPr>
            </w:pPr>
          </w:p>
        </w:tc>
        <w:tc>
          <w:tcPr>
            <w:tcW w:w="866" w:type="pct"/>
            <w:tcBorders>
              <w:top w:val="single" w:color="auto" w:sz="4" w:space="0"/>
              <w:left w:val="single" w:color="000000" w:sz="4" w:space="0"/>
              <w:bottom w:val="single" w:color="000000" w:sz="4" w:space="0"/>
              <w:right w:val="single" w:color="000000" w:sz="4" w:space="0"/>
            </w:tcBorders>
            <w:vAlign w:val="center"/>
          </w:tcPr>
          <w:p w14:paraId="7155390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预算编制规范性</w:t>
            </w:r>
          </w:p>
        </w:tc>
        <w:tc>
          <w:tcPr>
            <w:tcW w:w="464" w:type="pct"/>
            <w:tcBorders>
              <w:top w:val="single" w:color="auto" w:sz="4" w:space="0"/>
              <w:left w:val="single" w:color="000000" w:sz="4" w:space="0"/>
              <w:bottom w:val="single" w:color="000000" w:sz="4" w:space="0"/>
              <w:right w:val="single" w:color="000000" w:sz="4" w:space="0"/>
            </w:tcBorders>
            <w:vAlign w:val="center"/>
          </w:tcPr>
          <w:p w14:paraId="6D7982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规范</w:t>
            </w:r>
          </w:p>
        </w:tc>
        <w:tc>
          <w:tcPr>
            <w:tcW w:w="352" w:type="pct"/>
            <w:tcBorders>
              <w:top w:val="single" w:color="auto" w:sz="4" w:space="0"/>
              <w:left w:val="single" w:color="000000" w:sz="4" w:space="0"/>
              <w:bottom w:val="single" w:color="000000" w:sz="4" w:space="0"/>
              <w:right w:val="single" w:color="000000" w:sz="4" w:space="0"/>
            </w:tcBorders>
            <w:vAlign w:val="center"/>
          </w:tcPr>
          <w:p w14:paraId="6987DB9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000000" w:sz="4" w:space="0"/>
              <w:right w:val="single" w:color="000000" w:sz="4" w:space="0"/>
            </w:tcBorders>
            <w:vAlign w:val="center"/>
          </w:tcPr>
          <w:p w14:paraId="1C005586">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评价要点：①预算填报方式是否规范，填报内容是否合理、科学、完整；②是否经预算主管部门集体决策程序（如“三重一大”）。</w:t>
            </w:r>
          </w:p>
          <w:p w14:paraId="53DDC075">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评分规则：以上评价要点各占1/2分值，每个要点执行情况分为达成、部分达成、未达成三档，分别按指标分值的100%-80%（含）、80%-60%（含）、60%-0%合理确定分值。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7D2D2CF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规范</w:t>
            </w:r>
          </w:p>
        </w:tc>
        <w:tc>
          <w:tcPr>
            <w:tcW w:w="316" w:type="pct"/>
            <w:tcBorders>
              <w:top w:val="single" w:color="000000" w:sz="4" w:space="0"/>
              <w:left w:val="single" w:color="000000" w:sz="4" w:space="0"/>
              <w:bottom w:val="single" w:color="000000" w:sz="4" w:space="0"/>
              <w:right w:val="single" w:color="000000" w:sz="4" w:space="0"/>
            </w:tcBorders>
            <w:vAlign w:val="center"/>
          </w:tcPr>
          <w:p w14:paraId="492389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73563870">
            <w:pPr>
              <w:widowControl/>
              <w:jc w:val="center"/>
              <w:textAlignment w:val="center"/>
              <w:rPr>
                <w:rFonts w:hint="eastAsia" w:asciiTheme="minorEastAsia" w:hAnsiTheme="minorEastAsia" w:eastAsiaTheme="minorEastAsia" w:cstheme="minorEastAsia"/>
                <w:kern w:val="0"/>
                <w:sz w:val="15"/>
                <w:szCs w:val="15"/>
                <w:lang w:bidi="ar"/>
              </w:rPr>
            </w:pPr>
          </w:p>
        </w:tc>
      </w:tr>
      <w:tr w14:paraId="632E9DDD">
        <w:tblPrEx>
          <w:tblCellMar>
            <w:top w:w="0" w:type="dxa"/>
            <w:left w:w="108" w:type="dxa"/>
            <w:bottom w:w="0" w:type="dxa"/>
            <w:right w:w="108" w:type="dxa"/>
          </w:tblCellMar>
        </w:tblPrEx>
        <w:trPr>
          <w:trHeight w:val="1820" w:hRule="atLeast"/>
        </w:trPr>
        <w:tc>
          <w:tcPr>
            <w:tcW w:w="316" w:type="pct"/>
            <w:vMerge w:val="restart"/>
            <w:tcBorders>
              <w:top w:val="single" w:color="000000" w:sz="4" w:space="0"/>
              <w:left w:val="single" w:color="000000" w:sz="4" w:space="0"/>
              <w:bottom w:val="single" w:color="000000" w:sz="4" w:space="0"/>
              <w:right w:val="single" w:color="000000" w:sz="4" w:space="0"/>
            </w:tcBorders>
            <w:vAlign w:val="center"/>
          </w:tcPr>
          <w:p w14:paraId="5F36371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过程（30）</w:t>
            </w:r>
          </w:p>
        </w:tc>
        <w:tc>
          <w:tcPr>
            <w:tcW w:w="353" w:type="pct"/>
            <w:vMerge w:val="restart"/>
            <w:tcBorders>
              <w:top w:val="single" w:color="000000" w:sz="4" w:space="0"/>
              <w:left w:val="single" w:color="000000" w:sz="4" w:space="0"/>
              <w:bottom w:val="single" w:color="000000" w:sz="4" w:space="0"/>
              <w:right w:val="single" w:color="000000" w:sz="4" w:space="0"/>
            </w:tcBorders>
            <w:vAlign w:val="center"/>
          </w:tcPr>
          <w:p w14:paraId="3DEC3CE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预算执行（10）</w:t>
            </w:r>
          </w:p>
        </w:tc>
        <w:tc>
          <w:tcPr>
            <w:tcW w:w="866" w:type="pct"/>
            <w:tcBorders>
              <w:top w:val="single" w:color="000000" w:sz="4" w:space="0"/>
              <w:left w:val="single" w:color="000000" w:sz="4" w:space="0"/>
              <w:bottom w:val="nil"/>
              <w:right w:val="single" w:color="000000" w:sz="4" w:space="0"/>
            </w:tcBorders>
            <w:vAlign w:val="center"/>
          </w:tcPr>
          <w:p w14:paraId="2AEA4C8E">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预算调整率</w:t>
            </w:r>
          </w:p>
        </w:tc>
        <w:tc>
          <w:tcPr>
            <w:tcW w:w="464" w:type="pct"/>
            <w:tcBorders>
              <w:top w:val="single" w:color="000000" w:sz="4" w:space="0"/>
              <w:left w:val="single" w:color="000000" w:sz="4" w:space="0"/>
              <w:bottom w:val="single" w:color="000000" w:sz="4" w:space="0"/>
              <w:right w:val="single" w:color="000000" w:sz="4" w:space="0"/>
            </w:tcBorders>
            <w:vAlign w:val="center"/>
          </w:tcPr>
          <w:p w14:paraId="7987B21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w:t>
            </w:r>
          </w:p>
        </w:tc>
        <w:tc>
          <w:tcPr>
            <w:tcW w:w="352" w:type="pct"/>
            <w:tcBorders>
              <w:top w:val="single" w:color="000000" w:sz="4" w:space="0"/>
              <w:left w:val="single" w:color="000000" w:sz="4" w:space="0"/>
              <w:bottom w:val="single" w:color="000000" w:sz="4" w:space="0"/>
              <w:right w:val="single" w:color="000000" w:sz="4" w:space="0"/>
            </w:tcBorders>
            <w:vAlign w:val="center"/>
          </w:tcPr>
          <w:p w14:paraId="65C8C3C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nil"/>
              <w:bottom w:val="single" w:color="000000" w:sz="4" w:space="0"/>
              <w:right w:val="single" w:color="000000" w:sz="4" w:space="0"/>
            </w:tcBorders>
            <w:vAlign w:val="center"/>
          </w:tcPr>
          <w:p w14:paraId="37F434DA">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预算调整率=（预算调整数/预算数）×100%。预算调整数：部门（单位）在本年度内涉及预算的追加、追减或结构调整的资金总和（因落实国家政策，发生不可抗力、上级部门或本级党委、政府临时交办而产生的调整除外）。</w:t>
            </w:r>
          </w:p>
          <w:p w14:paraId="0E32630D">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评分规则：1.比率=0%，得满分；2.比率≠0%，每增加（减少）1%，扣5%的权重分，扣完为止。</w:t>
            </w:r>
          </w:p>
        </w:tc>
        <w:tc>
          <w:tcPr>
            <w:tcW w:w="416" w:type="pct"/>
            <w:tcBorders>
              <w:top w:val="single" w:color="000000" w:sz="4" w:space="0"/>
              <w:left w:val="nil"/>
              <w:bottom w:val="single" w:color="000000" w:sz="4" w:space="0"/>
              <w:right w:val="single" w:color="000000" w:sz="4" w:space="0"/>
            </w:tcBorders>
            <w:vAlign w:val="center"/>
          </w:tcPr>
          <w:p w14:paraId="16E430D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14.87%</w:t>
            </w:r>
          </w:p>
        </w:tc>
        <w:tc>
          <w:tcPr>
            <w:tcW w:w="316" w:type="pct"/>
            <w:tcBorders>
              <w:top w:val="single" w:color="000000" w:sz="4" w:space="0"/>
              <w:left w:val="nil"/>
              <w:bottom w:val="single" w:color="000000" w:sz="4" w:space="0"/>
              <w:right w:val="single" w:color="000000" w:sz="4" w:space="0"/>
            </w:tcBorders>
            <w:vAlign w:val="center"/>
          </w:tcPr>
          <w:p w14:paraId="4B33383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0.26</w:t>
            </w:r>
          </w:p>
        </w:tc>
        <w:tc>
          <w:tcPr>
            <w:tcW w:w="464" w:type="pct"/>
            <w:tcBorders>
              <w:top w:val="single" w:color="000000" w:sz="4" w:space="0"/>
              <w:left w:val="nil"/>
              <w:bottom w:val="single" w:color="000000" w:sz="4" w:space="0"/>
              <w:right w:val="single" w:color="000000" w:sz="4" w:space="0"/>
            </w:tcBorders>
            <w:vAlign w:val="center"/>
          </w:tcPr>
          <w:p w14:paraId="070197F1">
            <w:pPr>
              <w:widowControl/>
              <w:jc w:val="both"/>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支出预算调整数2,135,825.30元，支出预算数14,360,900.00元,预算调整率14.87%。</w:t>
            </w:r>
          </w:p>
        </w:tc>
      </w:tr>
      <w:tr w14:paraId="2EB0FCB5">
        <w:tblPrEx>
          <w:tblCellMar>
            <w:top w:w="0" w:type="dxa"/>
            <w:left w:w="108" w:type="dxa"/>
            <w:bottom w:w="0" w:type="dxa"/>
            <w:right w:w="108" w:type="dxa"/>
          </w:tblCellMar>
        </w:tblPrEx>
        <w:trPr>
          <w:trHeight w:val="128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0E6B12A9">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3CB79C09">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D969">
            <w:pPr>
              <w:widowControl/>
              <w:jc w:val="left"/>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支付进度符合率</w:t>
            </w:r>
          </w:p>
        </w:tc>
        <w:tc>
          <w:tcPr>
            <w:tcW w:w="464" w:type="pct"/>
            <w:tcBorders>
              <w:top w:val="nil"/>
              <w:left w:val="single" w:color="000000" w:sz="4" w:space="0"/>
              <w:bottom w:val="single" w:color="000000" w:sz="4" w:space="0"/>
              <w:right w:val="single" w:color="000000" w:sz="4" w:space="0"/>
            </w:tcBorders>
            <w:shd w:val="clear" w:color="auto" w:fill="auto"/>
            <w:vAlign w:val="center"/>
          </w:tcPr>
          <w:p w14:paraId="284690AD">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F652">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nil"/>
              <w:left w:val="nil"/>
              <w:bottom w:val="single" w:color="000000" w:sz="4" w:space="0"/>
              <w:right w:val="single" w:color="000000" w:sz="4" w:space="0"/>
            </w:tcBorders>
            <w:shd w:val="clear" w:color="auto" w:fill="auto"/>
            <w:vAlign w:val="center"/>
          </w:tcPr>
          <w:p w14:paraId="39894024">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支付进度率=（实际支付进度/计划支付进度）×100%。实际支付进度：部门在某一时点的支出数与年度预算数的比率。计划支付进度：由部门在申报部门整体绩效目标时确定的支付进度（比率）。</w:t>
            </w:r>
          </w:p>
          <w:p w14:paraId="091DC449">
            <w:pPr>
              <w:widowControl/>
              <w:jc w:val="left"/>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评分规则：1.比率≥100%，得满分；2.比率&lt;100%，每减少1%，扣2%的权重分，扣完为止。</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D571">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34FA">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D1E4E5D">
            <w:pPr>
              <w:widowControl/>
              <w:jc w:val="center"/>
              <w:textAlignment w:val="center"/>
              <w:rPr>
                <w:rFonts w:hint="eastAsia" w:asciiTheme="minorEastAsia" w:hAnsiTheme="minorEastAsia" w:eastAsiaTheme="minorEastAsia" w:cstheme="minorEastAsia"/>
                <w:kern w:val="0"/>
                <w:sz w:val="15"/>
                <w:szCs w:val="15"/>
                <w:lang w:bidi="ar"/>
              </w:rPr>
            </w:pPr>
          </w:p>
        </w:tc>
      </w:tr>
      <w:tr w14:paraId="0B019701">
        <w:tblPrEx>
          <w:tblCellMar>
            <w:top w:w="0" w:type="dxa"/>
            <w:left w:w="108" w:type="dxa"/>
            <w:bottom w:w="0" w:type="dxa"/>
            <w:right w:w="108" w:type="dxa"/>
          </w:tblCellMar>
        </w:tblPrEx>
        <w:trPr>
          <w:trHeight w:val="160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56DB8B10">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3F72C073">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304DDB3D">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预算执行率</w:t>
            </w:r>
          </w:p>
        </w:tc>
        <w:tc>
          <w:tcPr>
            <w:tcW w:w="464" w:type="pct"/>
            <w:tcBorders>
              <w:top w:val="single" w:color="000000" w:sz="4" w:space="0"/>
              <w:left w:val="single" w:color="000000" w:sz="4" w:space="0"/>
              <w:bottom w:val="single" w:color="000000" w:sz="4" w:space="0"/>
              <w:right w:val="single" w:color="000000" w:sz="4" w:space="0"/>
            </w:tcBorders>
            <w:vAlign w:val="center"/>
          </w:tcPr>
          <w:p w14:paraId="35E0765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7F29F1B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09096D68">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1.基本支出预算执行率=（基本支出预算执行数/基本支出调整预算数）×100%。2.项目支出预算执行率=（项目支出预算执行数/项目支出调整预算数）×100%。</w:t>
            </w:r>
          </w:p>
          <w:p w14:paraId="289DDF4A">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评分规则：以上评价要点各占1/2权重，得分=（基本支出预算执行率+项目支出预算执行率）×50%×分值。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43A73A2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200.00%</w:t>
            </w:r>
          </w:p>
        </w:tc>
        <w:tc>
          <w:tcPr>
            <w:tcW w:w="316" w:type="pct"/>
            <w:tcBorders>
              <w:top w:val="single" w:color="000000" w:sz="4" w:space="0"/>
              <w:left w:val="single" w:color="000000" w:sz="4" w:space="0"/>
              <w:bottom w:val="single" w:color="000000" w:sz="4" w:space="0"/>
              <w:right w:val="single" w:color="000000" w:sz="4" w:space="0"/>
            </w:tcBorders>
            <w:vAlign w:val="center"/>
          </w:tcPr>
          <w:p w14:paraId="016DFA2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464" w:type="pct"/>
            <w:tcBorders>
              <w:top w:val="single" w:color="000000" w:sz="4" w:space="0"/>
              <w:left w:val="single" w:color="000000" w:sz="4" w:space="0"/>
              <w:bottom w:val="single" w:color="000000" w:sz="4" w:space="0"/>
              <w:right w:val="single" w:color="000000" w:sz="4" w:space="0"/>
            </w:tcBorders>
            <w:vAlign w:val="center"/>
          </w:tcPr>
          <w:p w14:paraId="73226ECD">
            <w:pPr>
              <w:widowControl/>
              <w:jc w:val="center"/>
              <w:textAlignment w:val="center"/>
              <w:rPr>
                <w:rFonts w:hint="eastAsia" w:asciiTheme="minorEastAsia" w:hAnsiTheme="minorEastAsia" w:eastAsiaTheme="minorEastAsia" w:cstheme="minorEastAsia"/>
                <w:kern w:val="0"/>
                <w:sz w:val="15"/>
                <w:szCs w:val="15"/>
                <w:lang w:bidi="ar"/>
              </w:rPr>
            </w:pPr>
          </w:p>
        </w:tc>
      </w:tr>
      <w:tr w14:paraId="610CDFF4">
        <w:tblPrEx>
          <w:tblCellMar>
            <w:top w:w="0" w:type="dxa"/>
            <w:left w:w="108" w:type="dxa"/>
            <w:bottom w:w="0" w:type="dxa"/>
            <w:right w:w="108" w:type="dxa"/>
          </w:tblCellMar>
        </w:tblPrEx>
        <w:trPr>
          <w:trHeight w:val="104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570AA900">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4F024236">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24B2E9F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结转结余率</w:t>
            </w:r>
          </w:p>
        </w:tc>
        <w:tc>
          <w:tcPr>
            <w:tcW w:w="464" w:type="pct"/>
            <w:tcBorders>
              <w:top w:val="single" w:color="000000" w:sz="4" w:space="0"/>
              <w:left w:val="single" w:color="000000" w:sz="4" w:space="0"/>
              <w:bottom w:val="single" w:color="000000" w:sz="4" w:space="0"/>
              <w:right w:val="single" w:color="000000" w:sz="4" w:space="0"/>
            </w:tcBorders>
            <w:vAlign w:val="center"/>
          </w:tcPr>
          <w:p w14:paraId="7EC63BC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w:t>
            </w:r>
          </w:p>
        </w:tc>
        <w:tc>
          <w:tcPr>
            <w:tcW w:w="352" w:type="pct"/>
            <w:tcBorders>
              <w:top w:val="single" w:color="000000" w:sz="4" w:space="0"/>
              <w:left w:val="single" w:color="000000" w:sz="4" w:space="0"/>
              <w:bottom w:val="single" w:color="000000" w:sz="4" w:space="0"/>
              <w:right w:val="single" w:color="000000" w:sz="4" w:space="0"/>
            </w:tcBorders>
            <w:vAlign w:val="center"/>
          </w:tcPr>
          <w:p w14:paraId="15EF86E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2DD4D33B">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结转结余率=结转结余总额/调整预算数×100%。结转结余总额：部门（单位）本年度的结转资金与结余资金之和（以决算数为准，“三公”经费未执行数和政府采购节约资金等视同已支出）。</w:t>
            </w:r>
          </w:p>
          <w:p w14:paraId="58D92B4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评分规则：1.比率=0%，得满分；2.10%≤比率&lt;0%，每增加1%，扣10%的权重分，扣完为止。</w:t>
            </w:r>
          </w:p>
        </w:tc>
        <w:tc>
          <w:tcPr>
            <w:tcW w:w="416" w:type="pct"/>
            <w:tcBorders>
              <w:top w:val="single" w:color="000000" w:sz="4" w:space="0"/>
              <w:left w:val="single" w:color="000000" w:sz="4" w:space="0"/>
              <w:bottom w:val="single" w:color="000000" w:sz="4" w:space="0"/>
              <w:right w:val="single" w:color="000000" w:sz="4" w:space="0"/>
            </w:tcBorders>
            <w:vAlign w:val="center"/>
          </w:tcPr>
          <w:p w14:paraId="40B90C1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0.00%</w:t>
            </w:r>
          </w:p>
        </w:tc>
        <w:tc>
          <w:tcPr>
            <w:tcW w:w="316" w:type="pct"/>
            <w:tcBorders>
              <w:top w:val="single" w:color="000000" w:sz="4" w:space="0"/>
              <w:left w:val="single" w:color="000000" w:sz="4" w:space="0"/>
              <w:bottom w:val="single" w:color="000000" w:sz="4" w:space="0"/>
              <w:right w:val="single" w:color="000000" w:sz="4" w:space="0"/>
            </w:tcBorders>
            <w:vAlign w:val="center"/>
          </w:tcPr>
          <w:p w14:paraId="161163C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342DEDE9">
            <w:pPr>
              <w:widowControl/>
              <w:jc w:val="center"/>
              <w:textAlignment w:val="center"/>
              <w:rPr>
                <w:rFonts w:hint="eastAsia" w:asciiTheme="minorEastAsia" w:hAnsiTheme="minorEastAsia" w:eastAsiaTheme="minorEastAsia" w:cstheme="minorEastAsia"/>
                <w:kern w:val="0"/>
                <w:sz w:val="15"/>
                <w:szCs w:val="15"/>
                <w:lang w:bidi="ar"/>
              </w:rPr>
            </w:pPr>
          </w:p>
        </w:tc>
      </w:tr>
      <w:tr w14:paraId="58C6BE21">
        <w:tblPrEx>
          <w:tblCellMar>
            <w:top w:w="0" w:type="dxa"/>
            <w:left w:w="108" w:type="dxa"/>
            <w:bottom w:w="0" w:type="dxa"/>
            <w:right w:w="108" w:type="dxa"/>
          </w:tblCellMar>
        </w:tblPrEx>
        <w:trPr>
          <w:trHeight w:val="9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45F88B73">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6B0AA59F">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1280C5B7">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公用经费控制率</w:t>
            </w:r>
          </w:p>
        </w:tc>
        <w:tc>
          <w:tcPr>
            <w:tcW w:w="464" w:type="pct"/>
            <w:tcBorders>
              <w:top w:val="single" w:color="000000" w:sz="4" w:space="0"/>
              <w:left w:val="single" w:color="000000" w:sz="4" w:space="0"/>
              <w:bottom w:val="single" w:color="000000" w:sz="4" w:space="0"/>
              <w:right w:val="single" w:color="000000" w:sz="4" w:space="0"/>
            </w:tcBorders>
            <w:vAlign w:val="center"/>
          </w:tcPr>
          <w:p w14:paraId="712DC82E">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04659097">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1451" w:type="pct"/>
            <w:tcBorders>
              <w:top w:val="single" w:color="000000" w:sz="4" w:space="0"/>
              <w:left w:val="single" w:color="000000" w:sz="4" w:space="0"/>
              <w:bottom w:val="single" w:color="auto" w:sz="4" w:space="0"/>
              <w:right w:val="single" w:color="000000" w:sz="4" w:space="0"/>
            </w:tcBorders>
            <w:vAlign w:val="center"/>
          </w:tcPr>
          <w:p w14:paraId="12A9373F">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公用经费控制率=（实际支出公用经费总额/预算安排公用经费总额）×100%。</w:t>
            </w:r>
          </w:p>
        </w:tc>
        <w:tc>
          <w:tcPr>
            <w:tcW w:w="416" w:type="pct"/>
            <w:tcBorders>
              <w:top w:val="single" w:color="000000" w:sz="4" w:space="0"/>
              <w:left w:val="single" w:color="000000" w:sz="4" w:space="0"/>
              <w:bottom w:val="single" w:color="auto" w:sz="4" w:space="0"/>
              <w:right w:val="single" w:color="000000" w:sz="4" w:space="0"/>
            </w:tcBorders>
            <w:vAlign w:val="center"/>
          </w:tcPr>
          <w:p w14:paraId="00B9261C">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vAlign w:val="center"/>
          </w:tcPr>
          <w:p w14:paraId="59F7B8D1">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vAlign w:val="center"/>
          </w:tcPr>
          <w:p w14:paraId="0F7A100F">
            <w:pPr>
              <w:widowControl/>
              <w:jc w:val="center"/>
              <w:textAlignment w:val="center"/>
              <w:rPr>
                <w:rFonts w:hint="eastAsia" w:asciiTheme="minorEastAsia" w:hAnsiTheme="minorEastAsia" w:eastAsiaTheme="minorEastAsia" w:cstheme="minorEastAsia"/>
                <w:kern w:val="0"/>
                <w:sz w:val="15"/>
                <w:szCs w:val="15"/>
                <w:lang w:bidi="ar"/>
              </w:rPr>
            </w:pPr>
          </w:p>
        </w:tc>
      </w:tr>
      <w:tr w14:paraId="78AFF82F">
        <w:tblPrEx>
          <w:tblCellMar>
            <w:top w:w="0" w:type="dxa"/>
            <w:left w:w="108" w:type="dxa"/>
            <w:bottom w:w="0" w:type="dxa"/>
            <w:right w:w="108" w:type="dxa"/>
          </w:tblCellMar>
        </w:tblPrEx>
        <w:trPr>
          <w:trHeight w:val="154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5B78D80C">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460518F4">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4C9B2540">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“三公”经费变动率</w:t>
            </w:r>
          </w:p>
        </w:tc>
        <w:tc>
          <w:tcPr>
            <w:tcW w:w="464" w:type="pct"/>
            <w:tcBorders>
              <w:top w:val="single" w:color="000000" w:sz="4" w:space="0"/>
              <w:left w:val="single" w:color="000000" w:sz="4" w:space="0"/>
              <w:bottom w:val="single" w:color="000000" w:sz="4" w:space="0"/>
              <w:right w:val="single" w:color="000000" w:sz="4" w:space="0"/>
            </w:tcBorders>
            <w:vAlign w:val="center"/>
          </w:tcPr>
          <w:p w14:paraId="76F0F591">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≤0%</w:t>
            </w:r>
          </w:p>
        </w:tc>
        <w:tc>
          <w:tcPr>
            <w:tcW w:w="352" w:type="pct"/>
            <w:tcBorders>
              <w:top w:val="single" w:color="000000" w:sz="4" w:space="0"/>
              <w:left w:val="single" w:color="000000" w:sz="4" w:space="0"/>
              <w:bottom w:val="single" w:color="000000" w:sz="4" w:space="0"/>
              <w:right w:val="single" w:color="auto" w:sz="4" w:space="0"/>
            </w:tcBorders>
            <w:vAlign w:val="center"/>
          </w:tcPr>
          <w:p w14:paraId="1509BC68">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1451" w:type="pct"/>
            <w:tcBorders>
              <w:top w:val="single" w:color="auto" w:sz="4" w:space="0"/>
              <w:left w:val="single" w:color="auto" w:sz="4" w:space="0"/>
              <w:bottom w:val="single" w:color="auto" w:sz="4" w:space="0"/>
              <w:right w:val="single" w:color="000000" w:sz="4" w:space="0"/>
            </w:tcBorders>
            <w:vAlign w:val="center"/>
          </w:tcPr>
          <w:p w14:paraId="1FFFD283">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“三公”经费变动率=[（本年度“三公”经费总额-上年度“三公”经费总额）/上年度“三公”经费总额]×100%。“三公”经费：年度预算安排的因公出国（境）费、公务车辆购置及运行费和公务招待费。</w:t>
            </w:r>
          </w:p>
        </w:tc>
        <w:tc>
          <w:tcPr>
            <w:tcW w:w="416" w:type="pct"/>
            <w:tcBorders>
              <w:top w:val="single" w:color="auto" w:sz="4" w:space="0"/>
              <w:left w:val="nil"/>
              <w:bottom w:val="single" w:color="auto" w:sz="4" w:space="0"/>
              <w:right w:val="single" w:color="auto" w:sz="4" w:space="0"/>
            </w:tcBorders>
            <w:noWrap/>
            <w:vAlign w:val="center"/>
          </w:tcPr>
          <w:p w14:paraId="343BB432">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-10.87%</w:t>
            </w:r>
          </w:p>
        </w:tc>
        <w:tc>
          <w:tcPr>
            <w:tcW w:w="316" w:type="pct"/>
            <w:tcBorders>
              <w:top w:val="single" w:color="000000" w:sz="4" w:space="0"/>
              <w:left w:val="single" w:color="auto" w:sz="4" w:space="0"/>
              <w:bottom w:val="single" w:color="000000" w:sz="4" w:space="0"/>
              <w:right w:val="single" w:color="000000" w:sz="4" w:space="0"/>
            </w:tcBorders>
            <w:vAlign w:val="center"/>
          </w:tcPr>
          <w:p w14:paraId="717CBC60">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vAlign w:val="center"/>
          </w:tcPr>
          <w:p w14:paraId="5953A363">
            <w:pPr>
              <w:widowControl/>
              <w:jc w:val="center"/>
              <w:textAlignment w:val="center"/>
              <w:rPr>
                <w:rFonts w:hint="eastAsia" w:asciiTheme="minorEastAsia" w:hAnsiTheme="minorEastAsia" w:eastAsiaTheme="minorEastAsia" w:cstheme="minorEastAsia"/>
                <w:kern w:val="0"/>
                <w:sz w:val="15"/>
                <w:szCs w:val="15"/>
                <w:lang w:bidi="ar"/>
              </w:rPr>
            </w:pPr>
          </w:p>
        </w:tc>
      </w:tr>
      <w:tr w14:paraId="57FF577D">
        <w:tblPrEx>
          <w:tblCellMar>
            <w:top w:w="0" w:type="dxa"/>
            <w:left w:w="108" w:type="dxa"/>
            <w:bottom w:w="0" w:type="dxa"/>
            <w:right w:w="108" w:type="dxa"/>
          </w:tblCellMar>
        </w:tblPrEx>
        <w:trPr>
          <w:trHeight w:val="1199"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11D12082">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1ED8D167">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7EE61C67">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政府采购执行率</w:t>
            </w:r>
          </w:p>
        </w:tc>
        <w:tc>
          <w:tcPr>
            <w:tcW w:w="464" w:type="pct"/>
            <w:tcBorders>
              <w:top w:val="single" w:color="000000" w:sz="4" w:space="0"/>
              <w:left w:val="single" w:color="000000" w:sz="4" w:space="0"/>
              <w:bottom w:val="single" w:color="000000" w:sz="4" w:space="0"/>
              <w:right w:val="single" w:color="000000" w:sz="4" w:space="0"/>
            </w:tcBorders>
            <w:vAlign w:val="center"/>
          </w:tcPr>
          <w:p w14:paraId="5CDCA044">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16FD2C7E">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1451" w:type="pct"/>
            <w:tcBorders>
              <w:top w:val="single" w:color="auto" w:sz="4" w:space="0"/>
              <w:left w:val="single" w:color="000000" w:sz="4" w:space="0"/>
              <w:bottom w:val="single" w:color="000000" w:sz="4" w:space="0"/>
              <w:right w:val="single" w:color="000000" w:sz="4" w:space="0"/>
            </w:tcBorders>
            <w:vAlign w:val="center"/>
          </w:tcPr>
          <w:p w14:paraId="72DF542A">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政府采购执行率=（实际政府采购金额/政府采购预算数）×100%；政府采购预算：采购机关根据事业发展计划和行政任务编制的、并经过规定程序批准的年度政府采购计划。</w:t>
            </w:r>
          </w:p>
        </w:tc>
        <w:tc>
          <w:tcPr>
            <w:tcW w:w="416" w:type="pct"/>
            <w:tcBorders>
              <w:top w:val="single" w:color="auto" w:sz="4" w:space="0"/>
              <w:left w:val="single" w:color="000000" w:sz="4" w:space="0"/>
              <w:bottom w:val="single" w:color="000000" w:sz="4" w:space="0"/>
              <w:right w:val="single" w:color="000000" w:sz="4" w:space="0"/>
            </w:tcBorders>
            <w:vAlign w:val="center"/>
          </w:tcPr>
          <w:p w14:paraId="7CACCD95">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vAlign w:val="center"/>
          </w:tcPr>
          <w:p w14:paraId="0C57D6ED">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vAlign w:val="center"/>
          </w:tcPr>
          <w:p w14:paraId="20DCF713">
            <w:pPr>
              <w:keepNext w:val="0"/>
              <w:keepLines w:val="0"/>
              <w:widowControl/>
              <w:suppressLineNumbers w:val="0"/>
              <w:jc w:val="left"/>
              <w:textAlignment w:val="center"/>
              <w:rPr>
                <w:rFonts w:hint="eastAsia" w:asciiTheme="minorEastAsia" w:hAnsiTheme="minorEastAsia" w:eastAsiaTheme="minorEastAsia" w:cstheme="minorEastAsia"/>
                <w:kern w:val="0"/>
                <w:sz w:val="15"/>
                <w:szCs w:val="15"/>
                <w:lang w:bidi="ar"/>
              </w:rPr>
            </w:pPr>
          </w:p>
        </w:tc>
      </w:tr>
      <w:tr w14:paraId="4323957D">
        <w:tblPrEx>
          <w:tblCellMar>
            <w:top w:w="0" w:type="dxa"/>
            <w:left w:w="108" w:type="dxa"/>
            <w:bottom w:w="0" w:type="dxa"/>
            <w:right w:w="108" w:type="dxa"/>
          </w:tblCellMar>
        </w:tblPrEx>
        <w:trPr>
          <w:trHeight w:val="174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79CC2A1A">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auto" w:sz="4" w:space="0"/>
              <w:right w:val="single" w:color="000000" w:sz="4" w:space="0"/>
            </w:tcBorders>
            <w:vAlign w:val="center"/>
          </w:tcPr>
          <w:p w14:paraId="28782387">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auto" w:sz="4" w:space="0"/>
              <w:right w:val="single" w:color="000000" w:sz="4" w:space="0"/>
            </w:tcBorders>
            <w:vAlign w:val="center"/>
          </w:tcPr>
          <w:p w14:paraId="23F7C417">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非税收入预算完成率</w:t>
            </w:r>
          </w:p>
        </w:tc>
        <w:tc>
          <w:tcPr>
            <w:tcW w:w="464" w:type="pct"/>
            <w:tcBorders>
              <w:top w:val="single" w:color="000000" w:sz="4" w:space="0"/>
              <w:left w:val="single" w:color="000000" w:sz="4" w:space="0"/>
              <w:bottom w:val="single" w:color="000000" w:sz="4" w:space="0"/>
              <w:right w:val="single" w:color="000000" w:sz="4" w:space="0"/>
            </w:tcBorders>
            <w:vAlign w:val="center"/>
          </w:tcPr>
          <w:p w14:paraId="732A7C38">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3FEC76B1">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2</w:t>
            </w:r>
          </w:p>
        </w:tc>
        <w:tc>
          <w:tcPr>
            <w:tcW w:w="1451" w:type="pct"/>
            <w:tcBorders>
              <w:top w:val="single" w:color="000000" w:sz="4" w:space="0"/>
              <w:left w:val="single" w:color="000000" w:sz="4" w:space="0"/>
              <w:bottom w:val="single" w:color="000000" w:sz="4" w:space="0"/>
              <w:right w:val="single" w:color="000000" w:sz="4" w:space="0"/>
            </w:tcBorders>
            <w:vAlign w:val="center"/>
          </w:tcPr>
          <w:p w14:paraId="3135717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非税收入预算完成率=（非税收入实际完成数/非税收入预算数）×100%。非税收入实际完成数：部门（单位）本年度实际完成的非税收入数。预算数：本年度部门（单位）编制的非税收入预算数。</w:t>
            </w:r>
          </w:p>
          <w:p w14:paraId="1C9511B4">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评分规则：1.比率≥100%，得满分；2.比率&lt;100%，每减少1%，扣2%的权重分，扣完为止。</w:t>
            </w:r>
          </w:p>
        </w:tc>
        <w:tc>
          <w:tcPr>
            <w:tcW w:w="416" w:type="pct"/>
            <w:tcBorders>
              <w:top w:val="single" w:color="000000" w:sz="4" w:space="0"/>
              <w:left w:val="single" w:color="000000" w:sz="4" w:space="0"/>
              <w:bottom w:val="single" w:color="000000" w:sz="4" w:space="0"/>
              <w:right w:val="single" w:color="000000" w:sz="4" w:space="0"/>
            </w:tcBorders>
            <w:vAlign w:val="center"/>
          </w:tcPr>
          <w:p w14:paraId="1DD4E8DB">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67.51%</w:t>
            </w:r>
          </w:p>
        </w:tc>
        <w:tc>
          <w:tcPr>
            <w:tcW w:w="316" w:type="pct"/>
            <w:tcBorders>
              <w:top w:val="single" w:color="000000" w:sz="4" w:space="0"/>
              <w:left w:val="single" w:color="000000" w:sz="4" w:space="0"/>
              <w:bottom w:val="single" w:color="000000" w:sz="4" w:space="0"/>
              <w:right w:val="single" w:color="000000" w:sz="4" w:space="0"/>
            </w:tcBorders>
            <w:vAlign w:val="center"/>
          </w:tcPr>
          <w:p w14:paraId="0BF5D175">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vAlign w:val="center"/>
          </w:tcPr>
          <w:p w14:paraId="70713C4F">
            <w:pPr>
              <w:widowControl/>
              <w:jc w:val="both"/>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非税收入实际完成数1,152,800.00元，非税收入预算数1,707,500.00元，非税收入预算完成率67.51%。</w:t>
            </w:r>
          </w:p>
        </w:tc>
      </w:tr>
      <w:tr w14:paraId="0B7D26B0">
        <w:tblPrEx>
          <w:tblCellMar>
            <w:top w:w="0" w:type="dxa"/>
            <w:left w:w="108" w:type="dxa"/>
            <w:bottom w:w="0" w:type="dxa"/>
            <w:right w:w="108" w:type="dxa"/>
          </w:tblCellMar>
        </w:tblPrEx>
        <w:trPr>
          <w:trHeight w:val="204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472AC0BD">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auto" w:sz="4" w:space="0"/>
              <w:bottom w:val="single" w:color="000000" w:sz="4" w:space="0"/>
              <w:right w:val="single" w:color="auto" w:sz="4" w:space="0"/>
            </w:tcBorders>
            <w:vAlign w:val="center"/>
          </w:tcPr>
          <w:p w14:paraId="4E30F4D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预算管理（8）</w:t>
            </w:r>
          </w:p>
        </w:tc>
        <w:tc>
          <w:tcPr>
            <w:tcW w:w="866" w:type="pct"/>
            <w:tcBorders>
              <w:top w:val="single" w:color="auto" w:sz="4" w:space="0"/>
              <w:left w:val="single" w:color="auto" w:sz="4" w:space="0"/>
              <w:bottom w:val="single" w:color="000000" w:sz="4" w:space="0"/>
              <w:right w:val="single" w:color="auto" w:sz="4" w:space="0"/>
            </w:tcBorders>
            <w:vAlign w:val="center"/>
          </w:tcPr>
          <w:p w14:paraId="472CCDD1">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预算管理制度健全性</w:t>
            </w:r>
          </w:p>
        </w:tc>
        <w:tc>
          <w:tcPr>
            <w:tcW w:w="464" w:type="pct"/>
            <w:tcBorders>
              <w:top w:val="single" w:color="000000" w:sz="4" w:space="0"/>
              <w:left w:val="single" w:color="auto" w:sz="4" w:space="0"/>
              <w:bottom w:val="single" w:color="000000" w:sz="4" w:space="0"/>
              <w:right w:val="single" w:color="000000" w:sz="4" w:space="0"/>
            </w:tcBorders>
            <w:vAlign w:val="center"/>
          </w:tcPr>
          <w:p w14:paraId="1CE0A73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000000" w:sz="4" w:space="0"/>
              <w:left w:val="single" w:color="000000" w:sz="4" w:space="0"/>
              <w:bottom w:val="single" w:color="000000" w:sz="4" w:space="0"/>
              <w:right w:val="single" w:color="000000" w:sz="4" w:space="0"/>
            </w:tcBorders>
            <w:vAlign w:val="center"/>
          </w:tcPr>
          <w:p w14:paraId="717CA09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552A4528">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评价要点：①是否已制定或具有相应的预算管理内控制度，包括收入与支出管理、往来资金结算管理、现金及银行存款管理、财务监督管理、政府采购管理、绩效管理等；②预算管理制度是否合法、合规、完整。</w:t>
            </w:r>
          </w:p>
          <w:p w14:paraId="51ABEA45">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4B4731A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000000" w:sz="4" w:space="0"/>
              <w:left w:val="single" w:color="000000" w:sz="4" w:space="0"/>
              <w:bottom w:val="single" w:color="000000" w:sz="4" w:space="0"/>
              <w:right w:val="single" w:color="000000" w:sz="4" w:space="0"/>
            </w:tcBorders>
            <w:vAlign w:val="center"/>
          </w:tcPr>
          <w:p w14:paraId="0547E22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31BBC4E4">
            <w:pPr>
              <w:widowControl/>
              <w:jc w:val="center"/>
              <w:textAlignment w:val="center"/>
              <w:rPr>
                <w:rFonts w:hint="eastAsia" w:asciiTheme="minorEastAsia" w:hAnsiTheme="minorEastAsia" w:eastAsiaTheme="minorEastAsia" w:cstheme="minorEastAsia"/>
                <w:kern w:val="0"/>
                <w:sz w:val="15"/>
                <w:szCs w:val="15"/>
                <w:lang w:bidi="ar"/>
              </w:rPr>
            </w:pPr>
          </w:p>
        </w:tc>
      </w:tr>
      <w:tr w14:paraId="196BC8EC">
        <w:tblPrEx>
          <w:tblCellMar>
            <w:top w:w="0" w:type="dxa"/>
            <w:left w:w="108" w:type="dxa"/>
            <w:bottom w:w="0" w:type="dxa"/>
            <w:right w:w="108" w:type="dxa"/>
          </w:tblCellMar>
        </w:tblPrEx>
        <w:trPr>
          <w:trHeight w:val="236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5B41E8D4">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000000" w:sz="4" w:space="0"/>
              <w:right w:val="single" w:color="auto" w:sz="4" w:space="0"/>
            </w:tcBorders>
            <w:vAlign w:val="center"/>
          </w:tcPr>
          <w:p w14:paraId="0A8E0461">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000000" w:sz="4" w:space="0"/>
              <w:right w:val="single" w:color="auto" w:sz="4" w:space="0"/>
            </w:tcBorders>
            <w:shd w:val="clear" w:color="auto" w:fill="auto"/>
            <w:vAlign w:val="center"/>
          </w:tcPr>
          <w:p w14:paraId="054ABE48">
            <w:pPr>
              <w:widowControl/>
              <w:jc w:val="left"/>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资金使用合规性</w:t>
            </w:r>
          </w:p>
        </w:tc>
        <w:tc>
          <w:tcPr>
            <w:tcW w:w="464" w:type="pct"/>
            <w:tcBorders>
              <w:top w:val="single" w:color="000000" w:sz="4" w:space="0"/>
              <w:left w:val="single" w:color="auto" w:sz="4" w:space="0"/>
              <w:bottom w:val="single" w:color="000000" w:sz="4" w:space="0"/>
              <w:right w:val="single" w:color="000000" w:sz="4" w:space="0"/>
            </w:tcBorders>
            <w:shd w:val="clear" w:color="auto" w:fill="auto"/>
            <w:vAlign w:val="center"/>
          </w:tcPr>
          <w:p w14:paraId="1F7276BF">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合规</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45C5">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 xml:space="preserve">2.00 </w:t>
            </w:r>
          </w:p>
        </w:tc>
        <w:tc>
          <w:tcPr>
            <w:tcW w:w="1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A0A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符合国家财经法规和财务管理制度以及有关专项资金管理办法的规定；②是否存在截留、挤占、挪用、虚列支出等情况；③资金拨付是否有完整的审批程序和手续；④公用经费是否存在超标准支出情况，项目支出与公用经费是否存在重复交叉。</w:t>
            </w:r>
          </w:p>
          <w:p w14:paraId="54D32D01">
            <w:pPr>
              <w:widowControl/>
              <w:jc w:val="left"/>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评分规则：以上评价要点各占 1/4 分值，每个要点执行情况分为达成、部分达成、未达成三档，分别按分值的 100%-80%（含）、80%-60%（含）、60%-0%合理确定分值</w:t>
            </w:r>
            <w:r>
              <w:rPr>
                <w:rFonts w:hint="eastAsia" w:asciiTheme="minorEastAsia" w:hAnsiTheme="minorEastAsia" w:eastAsiaTheme="minorEastAsia" w:cstheme="minorEastAsia"/>
                <w:kern w:val="0"/>
                <w:sz w:val="15"/>
                <w:szCs w:val="15"/>
                <w:lang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407D">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合规</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D614">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 xml:space="preserve">2.00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22E6881">
            <w:pPr>
              <w:widowControl/>
              <w:jc w:val="center"/>
              <w:textAlignment w:val="center"/>
              <w:rPr>
                <w:rFonts w:hint="eastAsia" w:asciiTheme="minorEastAsia" w:hAnsiTheme="minorEastAsia" w:eastAsiaTheme="minorEastAsia" w:cstheme="minorEastAsia"/>
                <w:kern w:val="0"/>
                <w:sz w:val="15"/>
                <w:szCs w:val="15"/>
                <w:lang w:bidi="ar"/>
              </w:rPr>
            </w:pPr>
          </w:p>
        </w:tc>
      </w:tr>
      <w:tr w14:paraId="0C52A264">
        <w:tblPrEx>
          <w:tblCellMar>
            <w:top w:w="0" w:type="dxa"/>
            <w:left w:w="108" w:type="dxa"/>
            <w:bottom w:w="0" w:type="dxa"/>
            <w:right w:w="108" w:type="dxa"/>
          </w:tblCellMar>
        </w:tblPrEx>
        <w:trPr>
          <w:trHeight w:val="896"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5707D814">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000000" w:sz="4" w:space="0"/>
              <w:right w:val="single" w:color="auto" w:sz="4" w:space="0"/>
            </w:tcBorders>
            <w:vAlign w:val="center"/>
          </w:tcPr>
          <w:p w14:paraId="62F96901">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000000" w:sz="4" w:space="0"/>
              <w:right w:val="single" w:color="auto" w:sz="4" w:space="0"/>
            </w:tcBorders>
            <w:vAlign w:val="center"/>
          </w:tcPr>
          <w:p w14:paraId="153E413A">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绩效管理覆盖率</w:t>
            </w:r>
          </w:p>
        </w:tc>
        <w:tc>
          <w:tcPr>
            <w:tcW w:w="464" w:type="pct"/>
            <w:tcBorders>
              <w:top w:val="single" w:color="000000" w:sz="4" w:space="0"/>
              <w:left w:val="single" w:color="auto" w:sz="4" w:space="0"/>
              <w:bottom w:val="single" w:color="000000" w:sz="4" w:space="0"/>
              <w:right w:val="single" w:color="000000" w:sz="4" w:space="0"/>
            </w:tcBorders>
            <w:vAlign w:val="center"/>
          </w:tcPr>
          <w:p w14:paraId="10591D3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45C1D9C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60B8436A">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绩效管理覆盖率=（纳入绩效管理预算数/部门整体预算总额）×100%。</w:t>
            </w:r>
          </w:p>
          <w:p w14:paraId="42150C01">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评分规则：得分=绩效管理覆盖率×分值。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6DF4552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16" w:type="pct"/>
            <w:tcBorders>
              <w:top w:val="single" w:color="000000" w:sz="4" w:space="0"/>
              <w:left w:val="single" w:color="000000" w:sz="4" w:space="0"/>
              <w:bottom w:val="single" w:color="000000" w:sz="4" w:space="0"/>
              <w:right w:val="single" w:color="000000" w:sz="4" w:space="0"/>
            </w:tcBorders>
            <w:vAlign w:val="center"/>
          </w:tcPr>
          <w:p w14:paraId="5173A41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5C6AE7FC">
            <w:pPr>
              <w:widowControl/>
              <w:jc w:val="center"/>
              <w:textAlignment w:val="center"/>
              <w:rPr>
                <w:rFonts w:hint="eastAsia" w:asciiTheme="minorEastAsia" w:hAnsiTheme="minorEastAsia" w:eastAsiaTheme="minorEastAsia" w:cstheme="minorEastAsia"/>
                <w:kern w:val="0"/>
                <w:sz w:val="15"/>
                <w:szCs w:val="15"/>
                <w:lang w:bidi="ar"/>
              </w:rPr>
            </w:pPr>
          </w:p>
        </w:tc>
      </w:tr>
      <w:tr w14:paraId="249CA843">
        <w:tblPrEx>
          <w:tblCellMar>
            <w:top w:w="0" w:type="dxa"/>
            <w:left w:w="108" w:type="dxa"/>
            <w:bottom w:w="0" w:type="dxa"/>
            <w:right w:w="108" w:type="dxa"/>
          </w:tblCellMar>
        </w:tblPrEx>
        <w:trPr>
          <w:trHeight w:val="2109"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592C82C2">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000000" w:sz="4" w:space="0"/>
              <w:right w:val="single" w:color="auto" w:sz="4" w:space="0"/>
            </w:tcBorders>
            <w:vAlign w:val="center"/>
          </w:tcPr>
          <w:p w14:paraId="1BA141AB">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auto" w:sz="4" w:space="0"/>
              <w:right w:val="single" w:color="auto" w:sz="4" w:space="0"/>
            </w:tcBorders>
            <w:vAlign w:val="center"/>
          </w:tcPr>
          <w:p w14:paraId="1460F3E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基础信息完善性</w:t>
            </w:r>
          </w:p>
        </w:tc>
        <w:tc>
          <w:tcPr>
            <w:tcW w:w="464" w:type="pct"/>
            <w:tcBorders>
              <w:top w:val="single" w:color="000000" w:sz="4" w:space="0"/>
              <w:left w:val="single" w:color="auto" w:sz="4" w:space="0"/>
              <w:bottom w:val="single" w:color="auto" w:sz="4" w:space="0"/>
              <w:right w:val="single" w:color="000000" w:sz="4" w:space="0"/>
            </w:tcBorders>
            <w:vAlign w:val="center"/>
          </w:tcPr>
          <w:p w14:paraId="6679699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完善</w:t>
            </w:r>
          </w:p>
        </w:tc>
        <w:tc>
          <w:tcPr>
            <w:tcW w:w="352" w:type="pct"/>
            <w:tcBorders>
              <w:top w:val="single" w:color="000000" w:sz="4" w:space="0"/>
              <w:left w:val="single" w:color="000000" w:sz="4" w:space="0"/>
              <w:bottom w:val="single" w:color="auto" w:sz="4" w:space="0"/>
              <w:right w:val="single" w:color="000000" w:sz="4" w:space="0"/>
            </w:tcBorders>
            <w:vAlign w:val="center"/>
          </w:tcPr>
          <w:p w14:paraId="5AD39D3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auto" w:sz="4" w:space="0"/>
              <w:right w:val="single" w:color="000000" w:sz="4" w:space="0"/>
            </w:tcBorders>
            <w:vAlign w:val="center"/>
          </w:tcPr>
          <w:p w14:paraId="03423F84">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评价要点：①基本财务管理制度健全；②基础数据信息和会计信息资料是否真实、完整、准确。</w:t>
            </w:r>
          </w:p>
          <w:p w14:paraId="1F8B4ED9">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auto" w:sz="4" w:space="0"/>
              <w:right w:val="single" w:color="000000" w:sz="4" w:space="0"/>
            </w:tcBorders>
            <w:vAlign w:val="center"/>
          </w:tcPr>
          <w:p w14:paraId="3E5C8E8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完善</w:t>
            </w:r>
          </w:p>
        </w:tc>
        <w:tc>
          <w:tcPr>
            <w:tcW w:w="316" w:type="pct"/>
            <w:tcBorders>
              <w:top w:val="single" w:color="000000" w:sz="4" w:space="0"/>
              <w:left w:val="single" w:color="000000" w:sz="4" w:space="0"/>
              <w:bottom w:val="single" w:color="auto" w:sz="4" w:space="0"/>
              <w:right w:val="single" w:color="000000" w:sz="4" w:space="0"/>
            </w:tcBorders>
            <w:vAlign w:val="center"/>
          </w:tcPr>
          <w:p w14:paraId="7FD4F4F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auto" w:sz="4" w:space="0"/>
              <w:right w:val="single" w:color="000000" w:sz="4" w:space="0"/>
            </w:tcBorders>
            <w:vAlign w:val="center"/>
          </w:tcPr>
          <w:p w14:paraId="27C751DF">
            <w:pPr>
              <w:widowControl/>
              <w:jc w:val="center"/>
              <w:textAlignment w:val="center"/>
              <w:rPr>
                <w:rFonts w:hint="eastAsia" w:asciiTheme="minorEastAsia" w:hAnsiTheme="minorEastAsia" w:eastAsiaTheme="minorEastAsia" w:cstheme="minorEastAsia"/>
                <w:kern w:val="0"/>
                <w:sz w:val="15"/>
                <w:szCs w:val="15"/>
                <w:lang w:bidi="ar"/>
              </w:rPr>
            </w:pPr>
          </w:p>
        </w:tc>
      </w:tr>
      <w:tr w14:paraId="37016D40">
        <w:tblPrEx>
          <w:tblCellMar>
            <w:top w:w="0" w:type="dxa"/>
            <w:left w:w="108" w:type="dxa"/>
            <w:bottom w:w="0" w:type="dxa"/>
            <w:right w:w="108" w:type="dxa"/>
          </w:tblCellMar>
        </w:tblPrEx>
        <w:trPr>
          <w:trHeight w:val="94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28EFDA6C">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000000" w:sz="4" w:space="0"/>
              <w:right w:val="single" w:color="auto" w:sz="4" w:space="0"/>
            </w:tcBorders>
            <w:vAlign w:val="center"/>
          </w:tcPr>
          <w:p w14:paraId="149B3109">
            <w:pPr>
              <w:jc w:val="center"/>
              <w:rPr>
                <w:rFonts w:hint="eastAsia" w:asciiTheme="minorEastAsia" w:hAnsiTheme="minorEastAsia" w:eastAsiaTheme="minorEastAsia" w:cstheme="minorEastAsia"/>
                <w:sz w:val="15"/>
                <w:szCs w:val="15"/>
              </w:rPr>
            </w:pPr>
          </w:p>
        </w:tc>
        <w:tc>
          <w:tcPr>
            <w:tcW w:w="866" w:type="pct"/>
            <w:tcBorders>
              <w:top w:val="single" w:color="auto" w:sz="4" w:space="0"/>
              <w:left w:val="single" w:color="auto" w:sz="4" w:space="0"/>
              <w:bottom w:val="single" w:color="auto" w:sz="4" w:space="0"/>
              <w:right w:val="single" w:color="auto" w:sz="4" w:space="0"/>
            </w:tcBorders>
            <w:vAlign w:val="center"/>
          </w:tcPr>
          <w:p w14:paraId="20B4EAE8">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预决算信息公开度</w:t>
            </w:r>
          </w:p>
        </w:tc>
        <w:tc>
          <w:tcPr>
            <w:tcW w:w="464" w:type="pct"/>
            <w:tcBorders>
              <w:top w:val="single" w:color="auto" w:sz="4" w:space="0"/>
              <w:left w:val="single" w:color="auto" w:sz="4" w:space="0"/>
              <w:bottom w:val="single" w:color="auto" w:sz="4" w:space="0"/>
              <w:right w:val="single" w:color="000000" w:sz="4" w:space="0"/>
            </w:tcBorders>
            <w:vAlign w:val="center"/>
          </w:tcPr>
          <w:p w14:paraId="57A48871">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公开</w:t>
            </w:r>
          </w:p>
        </w:tc>
        <w:tc>
          <w:tcPr>
            <w:tcW w:w="352" w:type="pct"/>
            <w:tcBorders>
              <w:top w:val="single" w:color="auto" w:sz="4" w:space="0"/>
              <w:left w:val="single" w:color="000000" w:sz="4" w:space="0"/>
              <w:bottom w:val="single" w:color="auto" w:sz="4" w:space="0"/>
              <w:right w:val="single" w:color="000000" w:sz="4" w:space="0"/>
            </w:tcBorders>
            <w:vAlign w:val="center"/>
          </w:tcPr>
          <w:p w14:paraId="5E133FCD">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1451" w:type="pct"/>
            <w:tcBorders>
              <w:top w:val="single" w:color="auto" w:sz="4" w:space="0"/>
              <w:left w:val="single" w:color="000000" w:sz="4" w:space="0"/>
              <w:bottom w:val="single" w:color="auto" w:sz="4" w:space="0"/>
              <w:right w:val="single" w:color="000000" w:sz="4" w:space="0"/>
            </w:tcBorders>
            <w:vAlign w:val="center"/>
          </w:tcPr>
          <w:p w14:paraId="07CDA23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评价要点：①是否按规定内容公开预决算信息；②是否按规定时限公开预决算信息。</w:t>
            </w:r>
          </w:p>
          <w:p w14:paraId="04D69423">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评分规则：以上评价要点各占1/2分值，每个要点执行情况分为达成、部分达成、未达成三档，分别按分值的100%-80%（含）、80%-60%（含）、60%-0%合理确定分值。</w:t>
            </w:r>
          </w:p>
        </w:tc>
        <w:tc>
          <w:tcPr>
            <w:tcW w:w="416" w:type="pct"/>
            <w:tcBorders>
              <w:top w:val="single" w:color="auto" w:sz="4" w:space="0"/>
              <w:left w:val="single" w:color="000000" w:sz="4" w:space="0"/>
              <w:bottom w:val="single" w:color="auto" w:sz="4" w:space="0"/>
              <w:right w:val="single" w:color="000000" w:sz="4" w:space="0"/>
            </w:tcBorders>
            <w:vAlign w:val="center"/>
          </w:tcPr>
          <w:p w14:paraId="36FDA868">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公开</w:t>
            </w:r>
          </w:p>
        </w:tc>
        <w:tc>
          <w:tcPr>
            <w:tcW w:w="316" w:type="pct"/>
            <w:tcBorders>
              <w:top w:val="single" w:color="auto" w:sz="4" w:space="0"/>
              <w:left w:val="single" w:color="000000" w:sz="4" w:space="0"/>
              <w:bottom w:val="single" w:color="auto" w:sz="4" w:space="0"/>
              <w:right w:val="single" w:color="auto" w:sz="4" w:space="0"/>
            </w:tcBorders>
            <w:vAlign w:val="center"/>
          </w:tcPr>
          <w:p w14:paraId="3C325F45">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464" w:type="pct"/>
            <w:tcBorders>
              <w:top w:val="single" w:color="auto" w:sz="4" w:space="0"/>
              <w:left w:val="single" w:color="000000" w:sz="4" w:space="0"/>
              <w:bottom w:val="single" w:color="auto" w:sz="4" w:space="0"/>
              <w:right w:val="single" w:color="auto" w:sz="4" w:space="0"/>
            </w:tcBorders>
            <w:vAlign w:val="center"/>
          </w:tcPr>
          <w:p w14:paraId="737DAA76">
            <w:pPr>
              <w:widowControl/>
              <w:jc w:val="center"/>
              <w:textAlignment w:val="center"/>
              <w:rPr>
                <w:rFonts w:hint="eastAsia" w:asciiTheme="minorEastAsia" w:hAnsiTheme="minorEastAsia" w:eastAsiaTheme="minorEastAsia" w:cstheme="minorEastAsia"/>
                <w:kern w:val="0"/>
                <w:sz w:val="15"/>
                <w:szCs w:val="15"/>
                <w:lang w:bidi="ar"/>
              </w:rPr>
            </w:pPr>
          </w:p>
        </w:tc>
      </w:tr>
      <w:tr w14:paraId="41636DEC">
        <w:tblPrEx>
          <w:tblCellMar>
            <w:top w:w="0" w:type="dxa"/>
            <w:left w:w="108" w:type="dxa"/>
            <w:bottom w:w="0" w:type="dxa"/>
            <w:right w:w="108" w:type="dxa"/>
          </w:tblCellMar>
        </w:tblPrEx>
        <w:trPr>
          <w:trHeight w:val="9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4CC8F7CE">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auto" w:sz="4" w:space="0"/>
              <w:right w:val="single" w:color="auto" w:sz="4" w:space="0"/>
            </w:tcBorders>
            <w:vAlign w:val="center"/>
          </w:tcPr>
          <w:p w14:paraId="54D78595">
            <w:pPr>
              <w:jc w:val="center"/>
              <w:rPr>
                <w:rFonts w:hint="eastAsia" w:asciiTheme="minorEastAsia" w:hAnsiTheme="minorEastAsia" w:eastAsiaTheme="minorEastAsia" w:cstheme="minorEastAsia"/>
                <w:sz w:val="15"/>
                <w:szCs w:val="15"/>
              </w:rPr>
            </w:pPr>
          </w:p>
        </w:tc>
        <w:tc>
          <w:tcPr>
            <w:tcW w:w="866" w:type="pct"/>
            <w:tcBorders>
              <w:top w:val="single" w:color="auto" w:sz="4" w:space="0"/>
              <w:left w:val="single" w:color="auto" w:sz="4" w:space="0"/>
              <w:bottom w:val="single" w:color="auto" w:sz="4" w:space="0"/>
              <w:right w:val="single" w:color="auto" w:sz="4" w:space="0"/>
            </w:tcBorders>
            <w:vAlign w:val="center"/>
          </w:tcPr>
          <w:p w14:paraId="6B2C869C">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非税收入管理合规性</w:t>
            </w:r>
          </w:p>
        </w:tc>
        <w:tc>
          <w:tcPr>
            <w:tcW w:w="464" w:type="pct"/>
            <w:tcBorders>
              <w:top w:val="single" w:color="auto" w:sz="4" w:space="0"/>
              <w:left w:val="single" w:color="auto" w:sz="4" w:space="0"/>
              <w:bottom w:val="single" w:color="auto" w:sz="4" w:space="0"/>
              <w:right w:val="single" w:color="000000" w:sz="4" w:space="0"/>
            </w:tcBorders>
            <w:vAlign w:val="center"/>
          </w:tcPr>
          <w:p w14:paraId="2634F494">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合规</w:t>
            </w:r>
          </w:p>
        </w:tc>
        <w:tc>
          <w:tcPr>
            <w:tcW w:w="352" w:type="pct"/>
            <w:tcBorders>
              <w:top w:val="single" w:color="auto" w:sz="4" w:space="0"/>
              <w:left w:val="single" w:color="000000" w:sz="4" w:space="0"/>
              <w:bottom w:val="single" w:color="auto" w:sz="4" w:space="0"/>
              <w:right w:val="single" w:color="000000" w:sz="4" w:space="0"/>
            </w:tcBorders>
            <w:vAlign w:val="center"/>
          </w:tcPr>
          <w:p w14:paraId="58978670">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2</w:t>
            </w:r>
          </w:p>
        </w:tc>
        <w:tc>
          <w:tcPr>
            <w:tcW w:w="1451" w:type="pct"/>
            <w:tcBorders>
              <w:top w:val="single" w:color="auto" w:sz="4" w:space="0"/>
              <w:left w:val="single" w:color="000000" w:sz="4" w:space="0"/>
              <w:bottom w:val="single" w:color="auto" w:sz="4" w:space="0"/>
              <w:right w:val="single" w:color="000000" w:sz="4" w:space="0"/>
            </w:tcBorders>
            <w:vAlign w:val="center"/>
          </w:tcPr>
          <w:p w14:paraId="0A2415D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评价要点：①是否严格执行国家及地方非税收入管理相关法规；②是否制定内部管理制度；③是否存在截留、挤占、挪用、虚列支出等情况；④资金拨付是否有完整的审批程序和手续。</w:t>
            </w:r>
          </w:p>
          <w:p w14:paraId="45D38ECE">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评分规则：以上评价要点各占1/4分值。</w:t>
            </w:r>
          </w:p>
        </w:tc>
        <w:tc>
          <w:tcPr>
            <w:tcW w:w="416" w:type="pct"/>
            <w:tcBorders>
              <w:top w:val="single" w:color="auto" w:sz="4" w:space="0"/>
              <w:left w:val="single" w:color="000000" w:sz="4" w:space="0"/>
              <w:bottom w:val="single" w:color="auto" w:sz="4" w:space="0"/>
              <w:right w:val="single" w:color="auto" w:sz="4" w:space="0"/>
            </w:tcBorders>
            <w:vAlign w:val="center"/>
          </w:tcPr>
          <w:p w14:paraId="601A490E">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合规</w:t>
            </w:r>
          </w:p>
        </w:tc>
        <w:tc>
          <w:tcPr>
            <w:tcW w:w="316" w:type="pct"/>
            <w:tcBorders>
              <w:top w:val="single" w:color="auto" w:sz="4" w:space="0"/>
              <w:left w:val="single" w:color="auto" w:sz="4" w:space="0"/>
              <w:bottom w:val="single" w:color="auto" w:sz="4" w:space="0"/>
              <w:right w:val="single" w:color="000000" w:sz="4" w:space="0"/>
            </w:tcBorders>
            <w:vAlign w:val="center"/>
          </w:tcPr>
          <w:p w14:paraId="6B717E37">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2</w:t>
            </w:r>
          </w:p>
        </w:tc>
        <w:tc>
          <w:tcPr>
            <w:tcW w:w="464" w:type="pct"/>
            <w:tcBorders>
              <w:top w:val="single" w:color="auto" w:sz="4" w:space="0"/>
              <w:left w:val="single" w:color="000000" w:sz="4" w:space="0"/>
              <w:bottom w:val="single" w:color="auto" w:sz="4" w:space="0"/>
              <w:right w:val="single" w:color="auto" w:sz="4" w:space="0"/>
            </w:tcBorders>
            <w:vAlign w:val="center"/>
          </w:tcPr>
          <w:p w14:paraId="7C0405E7">
            <w:pPr>
              <w:widowControl/>
              <w:jc w:val="center"/>
              <w:textAlignment w:val="center"/>
              <w:rPr>
                <w:rFonts w:hint="eastAsia" w:asciiTheme="minorEastAsia" w:hAnsiTheme="minorEastAsia" w:eastAsiaTheme="minorEastAsia" w:cstheme="minorEastAsia"/>
                <w:kern w:val="0"/>
                <w:sz w:val="15"/>
                <w:szCs w:val="15"/>
                <w:lang w:bidi="ar"/>
              </w:rPr>
            </w:pPr>
          </w:p>
        </w:tc>
      </w:tr>
      <w:tr w14:paraId="5C75C6AB">
        <w:tblPrEx>
          <w:tblCellMar>
            <w:top w:w="0" w:type="dxa"/>
            <w:left w:w="108" w:type="dxa"/>
            <w:bottom w:w="0" w:type="dxa"/>
            <w:right w:w="108" w:type="dxa"/>
          </w:tblCellMar>
        </w:tblPrEx>
        <w:trPr>
          <w:trHeight w:val="1824"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1E7CCC14">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auto" w:sz="4" w:space="0"/>
              <w:bottom w:val="single" w:color="auto" w:sz="4" w:space="0"/>
              <w:right w:val="single" w:color="auto" w:sz="4" w:space="0"/>
            </w:tcBorders>
            <w:vAlign w:val="center"/>
          </w:tcPr>
          <w:p w14:paraId="34ADF0D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资产管理（3）</w:t>
            </w:r>
          </w:p>
        </w:tc>
        <w:tc>
          <w:tcPr>
            <w:tcW w:w="866" w:type="pct"/>
            <w:tcBorders>
              <w:top w:val="single" w:color="auto" w:sz="4" w:space="0"/>
              <w:left w:val="single" w:color="auto" w:sz="4" w:space="0"/>
              <w:bottom w:val="single" w:color="000000" w:sz="4" w:space="0"/>
              <w:right w:val="single" w:color="000000" w:sz="4" w:space="0"/>
            </w:tcBorders>
            <w:vAlign w:val="center"/>
          </w:tcPr>
          <w:p w14:paraId="0FFD05DB">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资产管理制度健全性</w:t>
            </w:r>
          </w:p>
        </w:tc>
        <w:tc>
          <w:tcPr>
            <w:tcW w:w="464" w:type="pct"/>
            <w:tcBorders>
              <w:top w:val="single" w:color="auto" w:sz="4" w:space="0"/>
              <w:left w:val="single" w:color="000000" w:sz="4" w:space="0"/>
              <w:bottom w:val="single" w:color="000000" w:sz="4" w:space="0"/>
              <w:right w:val="single" w:color="000000" w:sz="4" w:space="0"/>
            </w:tcBorders>
            <w:vAlign w:val="center"/>
          </w:tcPr>
          <w:p w14:paraId="78D65A4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auto" w:sz="4" w:space="0"/>
              <w:left w:val="single" w:color="000000" w:sz="4" w:space="0"/>
              <w:bottom w:val="single" w:color="000000" w:sz="4" w:space="0"/>
              <w:right w:val="single" w:color="000000" w:sz="4" w:space="0"/>
            </w:tcBorders>
            <w:vAlign w:val="center"/>
          </w:tcPr>
          <w:p w14:paraId="5253419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000000" w:sz="4" w:space="0"/>
              <w:right w:val="single" w:color="auto" w:sz="4" w:space="0"/>
            </w:tcBorders>
            <w:vAlign w:val="center"/>
          </w:tcPr>
          <w:p w14:paraId="575CFEF9">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评价要点：①是否已制定或具有资产管理制度；②相关资金管理制度是否合法、合规、完整。</w:t>
            </w:r>
          </w:p>
          <w:p w14:paraId="0F9680F9">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auto" w:sz="4" w:space="0"/>
              <w:left w:val="single" w:color="auto" w:sz="4" w:space="0"/>
              <w:bottom w:val="single" w:color="auto" w:sz="4" w:space="0"/>
              <w:right w:val="single" w:color="auto" w:sz="4" w:space="0"/>
            </w:tcBorders>
            <w:vAlign w:val="center"/>
          </w:tcPr>
          <w:p w14:paraId="09A488F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auto" w:sz="4" w:space="0"/>
              <w:left w:val="single" w:color="auto" w:sz="4" w:space="0"/>
              <w:bottom w:val="single" w:color="auto" w:sz="4" w:space="0"/>
              <w:right w:val="single" w:color="auto" w:sz="4" w:space="0"/>
            </w:tcBorders>
            <w:vAlign w:val="center"/>
          </w:tcPr>
          <w:p w14:paraId="08276D3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auto" w:sz="4" w:space="0"/>
              <w:left w:val="single" w:color="auto" w:sz="4" w:space="0"/>
              <w:bottom w:val="single" w:color="auto" w:sz="4" w:space="0"/>
              <w:right w:val="single" w:color="auto" w:sz="4" w:space="0"/>
            </w:tcBorders>
            <w:vAlign w:val="center"/>
          </w:tcPr>
          <w:p w14:paraId="6B955F4C">
            <w:pPr>
              <w:widowControl/>
              <w:jc w:val="left"/>
              <w:textAlignment w:val="center"/>
              <w:rPr>
                <w:rFonts w:hint="eastAsia" w:asciiTheme="minorEastAsia" w:hAnsiTheme="minorEastAsia" w:eastAsiaTheme="minorEastAsia" w:cstheme="minorEastAsia"/>
                <w:kern w:val="0"/>
                <w:sz w:val="15"/>
                <w:szCs w:val="15"/>
                <w:lang w:bidi="ar"/>
              </w:rPr>
            </w:pPr>
          </w:p>
        </w:tc>
      </w:tr>
      <w:tr w14:paraId="1BA4509D">
        <w:tblPrEx>
          <w:tblCellMar>
            <w:top w:w="0" w:type="dxa"/>
            <w:left w:w="108" w:type="dxa"/>
            <w:bottom w:w="0" w:type="dxa"/>
            <w:right w:w="108" w:type="dxa"/>
          </w:tblCellMar>
        </w:tblPrEx>
        <w:trPr>
          <w:trHeight w:val="980"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2D5362DE">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7304A2D5">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auto" w:sz="4" w:space="0"/>
              <w:right w:val="single" w:color="000000" w:sz="4" w:space="0"/>
            </w:tcBorders>
            <w:vAlign w:val="center"/>
          </w:tcPr>
          <w:p w14:paraId="13E7AA76">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资产管理规范性</w:t>
            </w:r>
          </w:p>
        </w:tc>
        <w:tc>
          <w:tcPr>
            <w:tcW w:w="464" w:type="pct"/>
            <w:tcBorders>
              <w:top w:val="single" w:color="000000" w:sz="4" w:space="0"/>
              <w:left w:val="single" w:color="000000" w:sz="4" w:space="0"/>
              <w:bottom w:val="single" w:color="auto" w:sz="4" w:space="0"/>
              <w:right w:val="single" w:color="000000" w:sz="4" w:space="0"/>
            </w:tcBorders>
            <w:vAlign w:val="center"/>
          </w:tcPr>
          <w:p w14:paraId="398325B1">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规范</w:t>
            </w:r>
          </w:p>
        </w:tc>
        <w:tc>
          <w:tcPr>
            <w:tcW w:w="352" w:type="pct"/>
            <w:tcBorders>
              <w:top w:val="single" w:color="000000" w:sz="4" w:space="0"/>
              <w:left w:val="single" w:color="000000" w:sz="4" w:space="0"/>
              <w:bottom w:val="single" w:color="auto" w:sz="4" w:space="0"/>
              <w:right w:val="single" w:color="000000" w:sz="4" w:space="0"/>
            </w:tcBorders>
            <w:vAlign w:val="center"/>
          </w:tcPr>
          <w:p w14:paraId="7749D34F">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1451" w:type="pct"/>
            <w:tcBorders>
              <w:top w:val="single" w:color="000000" w:sz="4" w:space="0"/>
              <w:left w:val="single" w:color="000000" w:sz="4" w:space="0"/>
              <w:bottom w:val="single" w:color="auto" w:sz="4" w:space="0"/>
              <w:right w:val="single" w:color="000000" w:sz="4" w:space="0"/>
            </w:tcBorders>
            <w:vAlign w:val="center"/>
          </w:tcPr>
          <w:p w14:paraId="3046AEC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评价要点：①是否明确资产管理部门、 财务部门、使用部门的职责；②资产购置是否符合规定，新购资产入库管理是否规范（如编制采购计划、进行采购审核、验收等）；③报废、转让、捐赠等处置行为是否履行审批手续，处置是否及时。</w:t>
            </w:r>
          </w:p>
          <w:p w14:paraId="3A07550B">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评分规则：以上评价要点各占1/3分值。</w:t>
            </w:r>
          </w:p>
        </w:tc>
        <w:tc>
          <w:tcPr>
            <w:tcW w:w="416" w:type="pct"/>
            <w:tcBorders>
              <w:top w:val="single" w:color="auto" w:sz="4" w:space="0"/>
              <w:left w:val="single" w:color="000000" w:sz="4" w:space="0"/>
              <w:bottom w:val="single" w:color="auto" w:sz="4" w:space="0"/>
              <w:right w:val="single" w:color="000000" w:sz="4" w:space="0"/>
            </w:tcBorders>
            <w:vAlign w:val="center"/>
          </w:tcPr>
          <w:p w14:paraId="4656670E">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较规范</w:t>
            </w:r>
          </w:p>
        </w:tc>
        <w:tc>
          <w:tcPr>
            <w:tcW w:w="316" w:type="pct"/>
            <w:tcBorders>
              <w:top w:val="single" w:color="auto" w:sz="4" w:space="0"/>
              <w:left w:val="single" w:color="000000" w:sz="4" w:space="0"/>
              <w:bottom w:val="single" w:color="auto" w:sz="4" w:space="0"/>
              <w:right w:val="single" w:color="auto" w:sz="4" w:space="0"/>
            </w:tcBorders>
            <w:vAlign w:val="center"/>
          </w:tcPr>
          <w:p w14:paraId="7BBC58AD">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0.5</w:t>
            </w:r>
          </w:p>
        </w:tc>
        <w:tc>
          <w:tcPr>
            <w:tcW w:w="464" w:type="pct"/>
            <w:tcBorders>
              <w:top w:val="single" w:color="auto" w:sz="4" w:space="0"/>
              <w:left w:val="single" w:color="auto" w:sz="4" w:space="0"/>
              <w:bottom w:val="single" w:color="auto" w:sz="4" w:space="0"/>
              <w:right w:val="single" w:color="auto" w:sz="4" w:space="0"/>
            </w:tcBorders>
            <w:vAlign w:val="center"/>
          </w:tcPr>
          <w:p w14:paraId="03A2E7D4">
            <w:pPr>
              <w:keepNext w:val="0"/>
              <w:keepLines w:val="0"/>
              <w:widowControl/>
              <w:suppressLineNumbers w:val="0"/>
              <w:jc w:val="both"/>
              <w:textAlignment w:val="center"/>
              <w:rPr>
                <w:rFonts w:hint="eastAsia" w:asciiTheme="minorEastAsia" w:hAnsiTheme="minorEastAsia" w:eastAsiaTheme="minorEastAsia" w:cstheme="minorEastAsia"/>
                <w:kern w:val="0"/>
                <w:sz w:val="15"/>
                <w:szCs w:val="15"/>
                <w:lang w:eastAsia="zh-CN" w:bidi="ar"/>
              </w:rPr>
            </w:pPr>
            <w:r>
              <w:rPr>
                <w:rFonts w:hint="eastAsia" w:ascii="宋体" w:hAnsi="宋体" w:eastAsia="宋体" w:cs="宋体"/>
                <w:i w:val="0"/>
                <w:iCs w:val="0"/>
                <w:color w:val="000000"/>
                <w:kern w:val="0"/>
                <w:sz w:val="15"/>
                <w:szCs w:val="15"/>
                <w:u w:val="none"/>
                <w:lang w:val="en-US" w:eastAsia="zh-CN" w:bidi="ar"/>
              </w:rPr>
              <w:t>中心资产管理职责不够清晰。</w:t>
            </w:r>
          </w:p>
        </w:tc>
      </w:tr>
      <w:tr w14:paraId="5DFD62EA">
        <w:tblPrEx>
          <w:tblCellMar>
            <w:top w:w="0" w:type="dxa"/>
            <w:left w:w="108" w:type="dxa"/>
            <w:bottom w:w="0" w:type="dxa"/>
            <w:right w:w="108" w:type="dxa"/>
          </w:tblCellMar>
        </w:tblPrEx>
        <w:trPr>
          <w:trHeight w:val="1521" w:hRule="atLeast"/>
        </w:trPr>
        <w:tc>
          <w:tcPr>
            <w:tcW w:w="316" w:type="pct"/>
            <w:vMerge w:val="continue"/>
            <w:tcBorders>
              <w:top w:val="single" w:color="000000" w:sz="4" w:space="0"/>
              <w:left w:val="single" w:color="000000" w:sz="4" w:space="0"/>
              <w:bottom w:val="single" w:color="000000" w:sz="4" w:space="0"/>
              <w:right w:val="single" w:color="auto" w:sz="4" w:space="0"/>
            </w:tcBorders>
            <w:vAlign w:val="center"/>
          </w:tcPr>
          <w:p w14:paraId="09B54B0A">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0B0C745C">
            <w:pPr>
              <w:jc w:val="center"/>
              <w:rPr>
                <w:rFonts w:hint="eastAsia" w:asciiTheme="minorEastAsia" w:hAnsiTheme="minorEastAsia" w:eastAsiaTheme="minorEastAsia" w:cstheme="minorEastAsia"/>
                <w:sz w:val="15"/>
                <w:szCs w:val="15"/>
              </w:rPr>
            </w:pPr>
          </w:p>
        </w:tc>
        <w:tc>
          <w:tcPr>
            <w:tcW w:w="866" w:type="pct"/>
            <w:tcBorders>
              <w:top w:val="single" w:color="auto" w:sz="4" w:space="0"/>
              <w:left w:val="single" w:color="auto" w:sz="4" w:space="0"/>
              <w:bottom w:val="single" w:color="auto" w:sz="4" w:space="0"/>
              <w:right w:val="single" w:color="000000" w:sz="4" w:space="0"/>
            </w:tcBorders>
            <w:vAlign w:val="center"/>
          </w:tcPr>
          <w:p w14:paraId="77D8A9F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固定资产利用率</w:t>
            </w:r>
          </w:p>
        </w:tc>
        <w:tc>
          <w:tcPr>
            <w:tcW w:w="464" w:type="pct"/>
            <w:tcBorders>
              <w:top w:val="single" w:color="auto" w:sz="4" w:space="0"/>
              <w:left w:val="single" w:color="000000" w:sz="4" w:space="0"/>
              <w:bottom w:val="single" w:color="auto" w:sz="4" w:space="0"/>
              <w:right w:val="single" w:color="000000" w:sz="4" w:space="0"/>
            </w:tcBorders>
            <w:vAlign w:val="center"/>
          </w:tcPr>
          <w:p w14:paraId="4DFD399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auto" w:sz="4" w:space="0"/>
              <w:left w:val="single" w:color="000000" w:sz="4" w:space="0"/>
              <w:bottom w:val="single" w:color="auto" w:sz="4" w:space="0"/>
              <w:right w:val="single" w:color="000000" w:sz="4" w:space="0"/>
            </w:tcBorders>
            <w:vAlign w:val="center"/>
          </w:tcPr>
          <w:p w14:paraId="0696BC4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auto" w:sz="4" w:space="0"/>
              <w:right w:val="single" w:color="000000" w:sz="4" w:space="0"/>
            </w:tcBorders>
            <w:vAlign w:val="center"/>
          </w:tcPr>
          <w:p w14:paraId="4180364A">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固定资产利用率=（实际在用固定资产数量/所有固定资产数量）×100%。</w:t>
            </w:r>
          </w:p>
          <w:p w14:paraId="3FF20AC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评分规则：得分=固定资产利用率×分值。</w:t>
            </w:r>
          </w:p>
        </w:tc>
        <w:tc>
          <w:tcPr>
            <w:tcW w:w="416" w:type="pct"/>
            <w:tcBorders>
              <w:top w:val="single" w:color="auto" w:sz="4" w:space="0"/>
              <w:left w:val="single" w:color="000000" w:sz="4" w:space="0"/>
              <w:bottom w:val="single" w:color="auto" w:sz="4" w:space="0"/>
              <w:right w:val="single" w:color="000000" w:sz="4" w:space="0"/>
            </w:tcBorders>
            <w:vAlign w:val="center"/>
          </w:tcPr>
          <w:p w14:paraId="6507C1D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89.20%</w:t>
            </w:r>
          </w:p>
        </w:tc>
        <w:tc>
          <w:tcPr>
            <w:tcW w:w="316" w:type="pct"/>
            <w:tcBorders>
              <w:top w:val="single" w:color="auto" w:sz="4" w:space="0"/>
              <w:left w:val="single" w:color="000000" w:sz="4" w:space="0"/>
              <w:bottom w:val="single" w:color="auto" w:sz="4" w:space="0"/>
              <w:right w:val="single" w:color="auto" w:sz="4" w:space="0"/>
            </w:tcBorders>
            <w:vAlign w:val="center"/>
          </w:tcPr>
          <w:p w14:paraId="75A348C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0.89 </w:t>
            </w:r>
          </w:p>
        </w:tc>
        <w:tc>
          <w:tcPr>
            <w:tcW w:w="464" w:type="pct"/>
            <w:tcBorders>
              <w:top w:val="single" w:color="auto" w:sz="4" w:space="0"/>
              <w:left w:val="single" w:color="auto" w:sz="4" w:space="0"/>
              <w:bottom w:val="single" w:color="000000" w:sz="4" w:space="0"/>
              <w:right w:val="single" w:color="000000" w:sz="4" w:space="0"/>
            </w:tcBorders>
            <w:vAlign w:val="center"/>
          </w:tcPr>
          <w:p w14:paraId="142B58E1">
            <w:pPr>
              <w:widowControl/>
              <w:jc w:val="both"/>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highlight w:val="none"/>
                <w:lang w:bidi="ar"/>
              </w:rPr>
              <w:t>2024年资产卡片显示共有398项固定资产，待盘活固定资产43项，固定资产利用率89.20%</w:t>
            </w:r>
            <w:r>
              <w:rPr>
                <w:rFonts w:hint="eastAsia" w:asciiTheme="minorEastAsia" w:hAnsiTheme="minorEastAsia" w:eastAsiaTheme="minorEastAsia" w:cstheme="minorEastAsia"/>
                <w:kern w:val="0"/>
                <w:sz w:val="15"/>
                <w:szCs w:val="15"/>
                <w:highlight w:val="none"/>
                <w:lang w:eastAsia="zh-CN" w:bidi="ar"/>
              </w:rPr>
              <w:t>。</w:t>
            </w:r>
          </w:p>
        </w:tc>
      </w:tr>
      <w:tr w14:paraId="7B204A2F">
        <w:tblPrEx>
          <w:tblCellMar>
            <w:top w:w="0" w:type="dxa"/>
            <w:left w:w="108" w:type="dxa"/>
            <w:bottom w:w="0" w:type="dxa"/>
            <w:right w:w="108" w:type="dxa"/>
          </w:tblCellMar>
        </w:tblPrEx>
        <w:trPr>
          <w:trHeight w:val="188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5CC8872B">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000000" w:sz="4" w:space="0"/>
              <w:bottom w:val="single" w:color="auto" w:sz="4" w:space="0"/>
              <w:right w:val="single" w:color="000000" w:sz="4" w:space="0"/>
            </w:tcBorders>
            <w:vAlign w:val="center"/>
          </w:tcPr>
          <w:p w14:paraId="13F6667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项目管理（3）</w:t>
            </w:r>
          </w:p>
        </w:tc>
        <w:tc>
          <w:tcPr>
            <w:tcW w:w="866" w:type="pct"/>
            <w:tcBorders>
              <w:top w:val="single" w:color="auto" w:sz="4" w:space="0"/>
              <w:left w:val="single" w:color="000000" w:sz="4" w:space="0"/>
              <w:bottom w:val="single" w:color="000000" w:sz="4" w:space="0"/>
              <w:right w:val="single" w:color="000000" w:sz="4" w:space="0"/>
            </w:tcBorders>
            <w:vAlign w:val="center"/>
          </w:tcPr>
          <w:p w14:paraId="6EC6E2D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项目管理制度健全性</w:t>
            </w:r>
          </w:p>
        </w:tc>
        <w:tc>
          <w:tcPr>
            <w:tcW w:w="464" w:type="pct"/>
            <w:tcBorders>
              <w:top w:val="single" w:color="auto" w:sz="4" w:space="0"/>
              <w:left w:val="single" w:color="000000" w:sz="4" w:space="0"/>
              <w:bottom w:val="single" w:color="000000" w:sz="4" w:space="0"/>
              <w:right w:val="single" w:color="000000" w:sz="4" w:space="0"/>
            </w:tcBorders>
            <w:vAlign w:val="center"/>
          </w:tcPr>
          <w:p w14:paraId="5EFA121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auto" w:sz="4" w:space="0"/>
              <w:left w:val="single" w:color="000000" w:sz="4" w:space="0"/>
              <w:bottom w:val="single" w:color="000000" w:sz="4" w:space="0"/>
              <w:right w:val="single" w:color="000000" w:sz="4" w:space="0"/>
            </w:tcBorders>
            <w:vAlign w:val="center"/>
          </w:tcPr>
          <w:p w14:paraId="3A96275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000000" w:sz="4" w:space="0"/>
              <w:right w:val="single" w:color="000000" w:sz="4" w:space="0"/>
            </w:tcBorders>
            <w:vAlign w:val="center"/>
          </w:tcPr>
          <w:p w14:paraId="4EB6B152">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评价要点：①是否已制定或具有相应的项目管理制度；②项目管理制度是否合法、合规、完整。</w:t>
            </w:r>
          </w:p>
          <w:p w14:paraId="0D6E912B">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auto" w:sz="4" w:space="0"/>
              <w:left w:val="single" w:color="000000" w:sz="4" w:space="0"/>
              <w:bottom w:val="single" w:color="000000" w:sz="4" w:space="0"/>
              <w:right w:val="single" w:color="000000" w:sz="4" w:space="0"/>
            </w:tcBorders>
            <w:vAlign w:val="center"/>
          </w:tcPr>
          <w:p w14:paraId="1F144B0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auto" w:sz="4" w:space="0"/>
              <w:left w:val="single" w:color="000000" w:sz="4" w:space="0"/>
              <w:bottom w:val="single" w:color="000000" w:sz="4" w:space="0"/>
              <w:right w:val="single" w:color="000000" w:sz="4" w:space="0"/>
            </w:tcBorders>
            <w:vAlign w:val="center"/>
          </w:tcPr>
          <w:p w14:paraId="688F13F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53FF1047">
            <w:pPr>
              <w:widowControl/>
              <w:jc w:val="center"/>
              <w:textAlignment w:val="center"/>
              <w:rPr>
                <w:rFonts w:hint="eastAsia" w:asciiTheme="minorEastAsia" w:hAnsiTheme="minorEastAsia" w:eastAsiaTheme="minorEastAsia" w:cstheme="minorEastAsia"/>
                <w:kern w:val="0"/>
                <w:sz w:val="15"/>
                <w:szCs w:val="15"/>
                <w:lang w:bidi="ar"/>
              </w:rPr>
            </w:pPr>
          </w:p>
        </w:tc>
      </w:tr>
      <w:tr w14:paraId="7DF79552">
        <w:tblPrEx>
          <w:tblCellMar>
            <w:top w:w="0" w:type="dxa"/>
            <w:left w:w="108" w:type="dxa"/>
            <w:bottom w:w="0" w:type="dxa"/>
            <w:right w:w="108" w:type="dxa"/>
          </w:tblCellMar>
        </w:tblPrEx>
        <w:trPr>
          <w:trHeight w:val="152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20CAD77A">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20B9141A">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7744E66F">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项目管理制度执行规范性</w:t>
            </w:r>
          </w:p>
        </w:tc>
        <w:tc>
          <w:tcPr>
            <w:tcW w:w="464" w:type="pct"/>
            <w:tcBorders>
              <w:top w:val="single" w:color="000000" w:sz="4" w:space="0"/>
              <w:left w:val="single" w:color="000000" w:sz="4" w:space="0"/>
              <w:bottom w:val="single" w:color="000000" w:sz="4" w:space="0"/>
              <w:right w:val="single" w:color="000000" w:sz="4" w:space="0"/>
            </w:tcBorders>
            <w:vAlign w:val="center"/>
          </w:tcPr>
          <w:p w14:paraId="29492AFC">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规范</w:t>
            </w:r>
          </w:p>
        </w:tc>
        <w:tc>
          <w:tcPr>
            <w:tcW w:w="352" w:type="pct"/>
            <w:tcBorders>
              <w:top w:val="single" w:color="000000" w:sz="4" w:space="0"/>
              <w:left w:val="single" w:color="000000" w:sz="4" w:space="0"/>
              <w:bottom w:val="single" w:color="000000" w:sz="4" w:space="0"/>
              <w:right w:val="single" w:color="000000" w:sz="4" w:space="0"/>
            </w:tcBorders>
            <w:vAlign w:val="center"/>
          </w:tcPr>
          <w:p w14:paraId="7702C65B">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2</w:t>
            </w:r>
          </w:p>
        </w:tc>
        <w:tc>
          <w:tcPr>
            <w:tcW w:w="1451" w:type="pct"/>
            <w:tcBorders>
              <w:top w:val="single" w:color="000000" w:sz="4" w:space="0"/>
              <w:left w:val="single" w:color="000000" w:sz="4" w:space="0"/>
              <w:bottom w:val="single" w:color="000000" w:sz="4" w:space="0"/>
              <w:right w:val="single" w:color="000000" w:sz="4" w:space="0"/>
            </w:tcBorders>
            <w:vAlign w:val="center"/>
          </w:tcPr>
          <w:p w14:paraId="2000E120">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评价要点：①项目管理工作机制是否健全，沟通协调是否顺畅；②项目是否按照要求规范严格地执行制度，包括可行性论证、概算、预算、施工设计、资金拨付、组织申报、政府采购、招投标、监理、中期检查、竣工验收、公开公示等。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5CC94CCF">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规范</w:t>
            </w:r>
          </w:p>
        </w:tc>
        <w:tc>
          <w:tcPr>
            <w:tcW w:w="316" w:type="pct"/>
            <w:tcBorders>
              <w:top w:val="single" w:color="000000" w:sz="4" w:space="0"/>
              <w:left w:val="single" w:color="000000" w:sz="4" w:space="0"/>
              <w:bottom w:val="single" w:color="000000" w:sz="4" w:space="0"/>
              <w:right w:val="single" w:color="000000" w:sz="4" w:space="0"/>
            </w:tcBorders>
            <w:vAlign w:val="center"/>
          </w:tcPr>
          <w:p w14:paraId="31948647">
            <w:pPr>
              <w:keepNext w:val="0"/>
              <w:keepLines w:val="0"/>
              <w:widowControl/>
              <w:suppressLineNumbers w:val="0"/>
              <w:jc w:val="center"/>
              <w:textAlignment w:val="center"/>
              <w:rPr>
                <w:rFonts w:hint="default" w:asciiTheme="minorEastAsia" w:hAnsiTheme="minorEastAsia" w:eastAsiaTheme="minorEastAsia" w:cstheme="minorEastAsia"/>
                <w:sz w:val="15"/>
                <w:szCs w:val="15"/>
                <w:lang w:val="en-US"/>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cs="宋体"/>
                <w:i w:val="0"/>
                <w:iCs w:val="0"/>
                <w:color w:val="000000"/>
                <w:kern w:val="0"/>
                <w:sz w:val="15"/>
                <w:szCs w:val="15"/>
                <w:u w:val="none"/>
                <w:lang w:val="en-US" w:eastAsia="zh-CN" w:bidi="ar"/>
              </w:rPr>
              <w:t>.00</w:t>
            </w:r>
          </w:p>
        </w:tc>
        <w:tc>
          <w:tcPr>
            <w:tcW w:w="464" w:type="pct"/>
            <w:tcBorders>
              <w:top w:val="single" w:color="000000" w:sz="4" w:space="0"/>
              <w:left w:val="single" w:color="000000" w:sz="4" w:space="0"/>
              <w:bottom w:val="single" w:color="000000" w:sz="4" w:space="0"/>
              <w:right w:val="single" w:color="000000" w:sz="4" w:space="0"/>
            </w:tcBorders>
            <w:vAlign w:val="center"/>
          </w:tcPr>
          <w:p w14:paraId="29F02CE8">
            <w:pPr>
              <w:widowControl/>
              <w:jc w:val="center"/>
              <w:textAlignment w:val="center"/>
              <w:rPr>
                <w:rFonts w:hint="eastAsia" w:asciiTheme="minorEastAsia" w:hAnsiTheme="minorEastAsia" w:eastAsiaTheme="minorEastAsia" w:cstheme="minorEastAsia"/>
                <w:kern w:val="0"/>
                <w:sz w:val="15"/>
                <w:szCs w:val="15"/>
                <w:lang w:bidi="ar"/>
              </w:rPr>
            </w:pPr>
          </w:p>
        </w:tc>
      </w:tr>
      <w:tr w14:paraId="1D3A255F">
        <w:tblPrEx>
          <w:tblCellMar>
            <w:top w:w="0" w:type="dxa"/>
            <w:left w:w="108" w:type="dxa"/>
            <w:bottom w:w="0" w:type="dxa"/>
            <w:right w:w="108" w:type="dxa"/>
          </w:tblCellMar>
        </w:tblPrEx>
        <w:trPr>
          <w:trHeight w:val="152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1E287136">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000000" w:sz="4" w:space="0"/>
              <w:bottom w:val="single" w:color="auto" w:sz="4" w:space="0"/>
              <w:right w:val="single" w:color="000000" w:sz="4" w:space="0"/>
            </w:tcBorders>
            <w:vAlign w:val="center"/>
          </w:tcPr>
          <w:p w14:paraId="108BF95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人员管理（3）</w:t>
            </w:r>
          </w:p>
        </w:tc>
        <w:tc>
          <w:tcPr>
            <w:tcW w:w="866" w:type="pct"/>
            <w:tcBorders>
              <w:top w:val="single" w:color="000000" w:sz="4" w:space="0"/>
              <w:left w:val="single" w:color="000000" w:sz="4" w:space="0"/>
              <w:bottom w:val="single" w:color="000000" w:sz="4" w:space="0"/>
              <w:right w:val="single" w:color="000000" w:sz="4" w:space="0"/>
            </w:tcBorders>
            <w:vAlign w:val="center"/>
          </w:tcPr>
          <w:p w14:paraId="64EA28F8">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人员管理制度健全性</w:t>
            </w:r>
          </w:p>
        </w:tc>
        <w:tc>
          <w:tcPr>
            <w:tcW w:w="464" w:type="pct"/>
            <w:tcBorders>
              <w:top w:val="single" w:color="000000" w:sz="4" w:space="0"/>
              <w:left w:val="single" w:color="000000" w:sz="4" w:space="0"/>
              <w:bottom w:val="single" w:color="000000" w:sz="4" w:space="0"/>
              <w:right w:val="single" w:color="000000" w:sz="4" w:space="0"/>
            </w:tcBorders>
            <w:vAlign w:val="center"/>
          </w:tcPr>
          <w:p w14:paraId="0632972D">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健全</w:t>
            </w:r>
          </w:p>
        </w:tc>
        <w:tc>
          <w:tcPr>
            <w:tcW w:w="352" w:type="pct"/>
            <w:tcBorders>
              <w:top w:val="single" w:color="000000" w:sz="4" w:space="0"/>
              <w:left w:val="single" w:color="000000" w:sz="4" w:space="0"/>
              <w:bottom w:val="single" w:color="000000" w:sz="4" w:space="0"/>
              <w:right w:val="single" w:color="000000" w:sz="4" w:space="0"/>
            </w:tcBorders>
            <w:vAlign w:val="center"/>
          </w:tcPr>
          <w:p w14:paraId="5DDE4E18">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1451" w:type="pct"/>
            <w:tcBorders>
              <w:top w:val="single" w:color="000000" w:sz="4" w:space="0"/>
              <w:left w:val="single" w:color="000000" w:sz="4" w:space="0"/>
              <w:bottom w:val="single" w:color="000000" w:sz="4" w:space="0"/>
              <w:right w:val="single" w:color="000000" w:sz="4" w:space="0"/>
            </w:tcBorders>
            <w:vAlign w:val="center"/>
          </w:tcPr>
          <w:p w14:paraId="7282CE6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评价要点：①有明确的组织架构和职责分工；②人员配备是否充足，是否能够保障单位履职需要；③是否存在以政府购买服务变相用工情况。</w:t>
            </w:r>
          </w:p>
          <w:p w14:paraId="6B30ADAE">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评分规则：以上评价要点各占1/3分值，每个要点执行情况分为达成、部分达成、未达成三档，分别按分值的100%-80%（含）、80%-60%（含）、60%-0%合理确定分值。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4583E72B">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健全</w:t>
            </w:r>
          </w:p>
        </w:tc>
        <w:tc>
          <w:tcPr>
            <w:tcW w:w="316" w:type="pct"/>
            <w:tcBorders>
              <w:top w:val="single" w:color="000000" w:sz="4" w:space="0"/>
              <w:left w:val="single" w:color="000000" w:sz="4" w:space="0"/>
              <w:bottom w:val="single" w:color="000000" w:sz="4" w:space="0"/>
              <w:right w:val="single" w:color="000000" w:sz="4" w:space="0"/>
            </w:tcBorders>
            <w:vAlign w:val="center"/>
          </w:tcPr>
          <w:p w14:paraId="7048394E">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DCB59A1">
            <w:pPr>
              <w:widowControl/>
              <w:jc w:val="center"/>
              <w:textAlignment w:val="center"/>
              <w:rPr>
                <w:rFonts w:hint="eastAsia" w:asciiTheme="minorEastAsia" w:hAnsiTheme="minorEastAsia" w:eastAsiaTheme="minorEastAsia" w:cstheme="minorEastAsia"/>
                <w:kern w:val="0"/>
                <w:sz w:val="15"/>
                <w:szCs w:val="15"/>
                <w:lang w:bidi="ar"/>
              </w:rPr>
            </w:pPr>
          </w:p>
        </w:tc>
      </w:tr>
      <w:tr w14:paraId="6396248F">
        <w:tblPrEx>
          <w:tblCellMar>
            <w:top w:w="0" w:type="dxa"/>
            <w:left w:w="108" w:type="dxa"/>
            <w:bottom w:w="0" w:type="dxa"/>
            <w:right w:w="108" w:type="dxa"/>
          </w:tblCellMar>
        </w:tblPrEx>
        <w:trPr>
          <w:trHeight w:val="184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5AB8639C">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6ED2370E">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1196F6B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人员管理制度执行有效性</w:t>
            </w:r>
          </w:p>
        </w:tc>
        <w:tc>
          <w:tcPr>
            <w:tcW w:w="464" w:type="pct"/>
            <w:tcBorders>
              <w:top w:val="single" w:color="000000" w:sz="4" w:space="0"/>
              <w:left w:val="single" w:color="000000" w:sz="4" w:space="0"/>
              <w:bottom w:val="single" w:color="000000" w:sz="4" w:space="0"/>
              <w:right w:val="single" w:color="000000" w:sz="4" w:space="0"/>
            </w:tcBorders>
            <w:vAlign w:val="center"/>
          </w:tcPr>
          <w:p w14:paraId="6782BFA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有效</w:t>
            </w:r>
          </w:p>
        </w:tc>
        <w:tc>
          <w:tcPr>
            <w:tcW w:w="352" w:type="pct"/>
            <w:tcBorders>
              <w:top w:val="single" w:color="000000" w:sz="4" w:space="0"/>
              <w:left w:val="single" w:color="000000" w:sz="4" w:space="0"/>
              <w:bottom w:val="single" w:color="000000" w:sz="4" w:space="0"/>
              <w:right w:val="single" w:color="000000" w:sz="4" w:space="0"/>
            </w:tcBorders>
            <w:vAlign w:val="center"/>
          </w:tcPr>
          <w:p w14:paraId="1DFEBA2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2FDDDDE7">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评价要点：①年终组织个人、处（科）室考核，实施程序规范、资料完整；②考核结果切实运用。</w:t>
            </w:r>
          </w:p>
          <w:p w14:paraId="6ADC7E1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77A2D97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有效</w:t>
            </w:r>
          </w:p>
        </w:tc>
        <w:tc>
          <w:tcPr>
            <w:tcW w:w="316" w:type="pct"/>
            <w:tcBorders>
              <w:top w:val="single" w:color="000000" w:sz="4" w:space="0"/>
              <w:left w:val="single" w:color="000000" w:sz="4" w:space="0"/>
              <w:bottom w:val="single" w:color="000000" w:sz="4" w:space="0"/>
              <w:right w:val="single" w:color="000000" w:sz="4" w:space="0"/>
            </w:tcBorders>
            <w:vAlign w:val="center"/>
          </w:tcPr>
          <w:p w14:paraId="3D7DA67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867DD01">
            <w:pPr>
              <w:widowControl/>
              <w:jc w:val="center"/>
              <w:textAlignment w:val="center"/>
              <w:rPr>
                <w:rFonts w:hint="eastAsia" w:asciiTheme="minorEastAsia" w:hAnsiTheme="minorEastAsia" w:eastAsiaTheme="minorEastAsia" w:cstheme="minorEastAsia"/>
                <w:kern w:val="0"/>
                <w:sz w:val="15"/>
                <w:szCs w:val="15"/>
                <w:lang w:bidi="ar"/>
              </w:rPr>
            </w:pPr>
          </w:p>
        </w:tc>
      </w:tr>
      <w:tr w14:paraId="1B5286B0">
        <w:tblPrEx>
          <w:tblCellMar>
            <w:top w:w="0" w:type="dxa"/>
            <w:left w:w="108" w:type="dxa"/>
            <w:bottom w:w="0" w:type="dxa"/>
            <w:right w:w="108" w:type="dxa"/>
          </w:tblCellMar>
        </w:tblPrEx>
        <w:trPr>
          <w:trHeight w:val="178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120580CE">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782B262A">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2A64167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在职人员控制率</w:t>
            </w:r>
          </w:p>
        </w:tc>
        <w:tc>
          <w:tcPr>
            <w:tcW w:w="464" w:type="pct"/>
            <w:tcBorders>
              <w:top w:val="single" w:color="000000" w:sz="4" w:space="0"/>
              <w:left w:val="single" w:color="000000" w:sz="4" w:space="0"/>
              <w:bottom w:val="single" w:color="000000" w:sz="4" w:space="0"/>
              <w:right w:val="single" w:color="000000" w:sz="4" w:space="0"/>
            </w:tcBorders>
            <w:vAlign w:val="center"/>
          </w:tcPr>
          <w:p w14:paraId="5CBE9AC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1744FCC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5E719AC8">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在职人员控制率=（在职人员数/编制数）×100%。在职人员数：部门（单位）实际在职人数，以财政部确定的部门决算编制口径为准。编制数：机构编制部门核定批复的部门（单位）的人员编制数。</w:t>
            </w:r>
          </w:p>
          <w:p w14:paraId="0B78F6C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评分规则：1.比率≤100%，得满分；2.比率&gt;100%，每增加1%，扣5%的权重分，扣完为止。</w:t>
            </w:r>
          </w:p>
        </w:tc>
        <w:tc>
          <w:tcPr>
            <w:tcW w:w="416" w:type="pct"/>
            <w:tcBorders>
              <w:top w:val="single" w:color="000000" w:sz="4" w:space="0"/>
              <w:left w:val="single" w:color="000000" w:sz="4" w:space="0"/>
              <w:bottom w:val="single" w:color="000000" w:sz="4" w:space="0"/>
              <w:right w:val="single" w:color="000000" w:sz="4" w:space="0"/>
            </w:tcBorders>
            <w:vAlign w:val="center"/>
          </w:tcPr>
          <w:p w14:paraId="1994925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63.41%</w:t>
            </w:r>
          </w:p>
        </w:tc>
        <w:tc>
          <w:tcPr>
            <w:tcW w:w="316" w:type="pct"/>
            <w:tcBorders>
              <w:top w:val="single" w:color="000000" w:sz="4" w:space="0"/>
              <w:left w:val="single" w:color="000000" w:sz="4" w:space="0"/>
              <w:bottom w:val="single" w:color="000000" w:sz="4" w:space="0"/>
              <w:right w:val="single" w:color="000000" w:sz="4" w:space="0"/>
            </w:tcBorders>
            <w:vAlign w:val="center"/>
          </w:tcPr>
          <w:p w14:paraId="73BFA19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9A64930">
            <w:pPr>
              <w:widowControl/>
              <w:jc w:val="center"/>
              <w:textAlignment w:val="center"/>
              <w:rPr>
                <w:rFonts w:hint="eastAsia" w:asciiTheme="minorEastAsia" w:hAnsiTheme="minorEastAsia" w:eastAsiaTheme="minorEastAsia" w:cstheme="minorEastAsia"/>
                <w:kern w:val="0"/>
                <w:sz w:val="15"/>
                <w:szCs w:val="15"/>
                <w:lang w:bidi="ar"/>
              </w:rPr>
            </w:pPr>
          </w:p>
        </w:tc>
      </w:tr>
      <w:tr w14:paraId="11C49A29">
        <w:tblPrEx>
          <w:tblCellMar>
            <w:top w:w="0" w:type="dxa"/>
            <w:left w:w="108" w:type="dxa"/>
            <w:bottom w:w="0" w:type="dxa"/>
            <w:right w:w="108" w:type="dxa"/>
          </w:tblCellMar>
        </w:tblPrEx>
        <w:trPr>
          <w:trHeight w:val="108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4805D605">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000000" w:sz="4" w:space="0"/>
              <w:bottom w:val="single" w:color="auto" w:sz="4" w:space="0"/>
              <w:right w:val="single" w:color="000000" w:sz="4" w:space="0"/>
            </w:tcBorders>
            <w:vAlign w:val="center"/>
          </w:tcPr>
          <w:p w14:paraId="22F04D9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机构建设（3）</w:t>
            </w:r>
          </w:p>
        </w:tc>
        <w:tc>
          <w:tcPr>
            <w:tcW w:w="866" w:type="pct"/>
            <w:tcBorders>
              <w:top w:val="single" w:color="000000" w:sz="4" w:space="0"/>
              <w:left w:val="single" w:color="000000" w:sz="4" w:space="0"/>
              <w:bottom w:val="single" w:color="000000" w:sz="4" w:space="0"/>
              <w:right w:val="single" w:color="000000" w:sz="4" w:space="0"/>
            </w:tcBorders>
            <w:vAlign w:val="center"/>
          </w:tcPr>
          <w:p w14:paraId="77DE6B0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组织建设工作及时完成率</w:t>
            </w:r>
          </w:p>
        </w:tc>
        <w:tc>
          <w:tcPr>
            <w:tcW w:w="464" w:type="pct"/>
            <w:tcBorders>
              <w:top w:val="single" w:color="000000" w:sz="4" w:space="0"/>
              <w:left w:val="single" w:color="000000" w:sz="4" w:space="0"/>
              <w:bottom w:val="single" w:color="000000" w:sz="4" w:space="0"/>
              <w:right w:val="single" w:color="000000" w:sz="4" w:space="0"/>
            </w:tcBorders>
            <w:vAlign w:val="center"/>
          </w:tcPr>
          <w:p w14:paraId="2ABCFA6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2EE036C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4CE52E23">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组织建设工作完成率=（实际及时完成的组织建设工作数/计划组织建设工作数）×100%。</w:t>
            </w:r>
          </w:p>
          <w:p w14:paraId="3B43537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评分规则：得分=业务学习与培训及时完成率×分值。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5D3BD32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16" w:type="pct"/>
            <w:tcBorders>
              <w:top w:val="single" w:color="000000" w:sz="4" w:space="0"/>
              <w:left w:val="single" w:color="000000" w:sz="4" w:space="0"/>
              <w:bottom w:val="single" w:color="000000" w:sz="4" w:space="0"/>
              <w:right w:val="single" w:color="000000" w:sz="4" w:space="0"/>
            </w:tcBorders>
            <w:vAlign w:val="center"/>
          </w:tcPr>
          <w:p w14:paraId="5B2089D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0A559F15">
            <w:pPr>
              <w:widowControl/>
              <w:jc w:val="center"/>
              <w:textAlignment w:val="center"/>
              <w:rPr>
                <w:rFonts w:hint="eastAsia" w:asciiTheme="minorEastAsia" w:hAnsiTheme="minorEastAsia" w:eastAsiaTheme="minorEastAsia" w:cstheme="minorEastAsia"/>
                <w:kern w:val="0"/>
                <w:sz w:val="15"/>
                <w:szCs w:val="15"/>
                <w:lang w:bidi="ar"/>
              </w:rPr>
            </w:pPr>
          </w:p>
        </w:tc>
      </w:tr>
      <w:tr w14:paraId="3CFEF201">
        <w:tblPrEx>
          <w:tblCellMar>
            <w:top w:w="0" w:type="dxa"/>
            <w:left w:w="108" w:type="dxa"/>
            <w:bottom w:w="0" w:type="dxa"/>
            <w:right w:w="108" w:type="dxa"/>
          </w:tblCellMar>
        </w:tblPrEx>
        <w:trPr>
          <w:trHeight w:val="1500" w:hRule="atLeast"/>
        </w:trPr>
        <w:tc>
          <w:tcPr>
            <w:tcW w:w="316" w:type="pct"/>
            <w:vMerge w:val="continue"/>
            <w:tcBorders>
              <w:top w:val="single" w:color="000000" w:sz="4" w:space="0"/>
              <w:left w:val="single" w:color="000000" w:sz="4" w:space="0"/>
              <w:bottom w:val="single" w:color="000000" w:sz="4" w:space="0"/>
              <w:right w:val="single" w:color="000000" w:sz="4" w:space="0"/>
            </w:tcBorders>
            <w:vAlign w:val="center"/>
          </w:tcPr>
          <w:p w14:paraId="3E5ACCD8">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3C714BEB">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617A3ADB">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业务学习与培训及时完成率</w:t>
            </w:r>
          </w:p>
        </w:tc>
        <w:tc>
          <w:tcPr>
            <w:tcW w:w="464" w:type="pct"/>
            <w:tcBorders>
              <w:top w:val="single" w:color="000000" w:sz="4" w:space="0"/>
              <w:left w:val="single" w:color="000000" w:sz="4" w:space="0"/>
              <w:bottom w:val="single" w:color="000000" w:sz="4" w:space="0"/>
              <w:right w:val="single" w:color="000000" w:sz="4" w:space="0"/>
            </w:tcBorders>
            <w:vAlign w:val="center"/>
          </w:tcPr>
          <w:p w14:paraId="2930BE26">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4DFB826F">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w:t>
            </w:r>
          </w:p>
        </w:tc>
        <w:tc>
          <w:tcPr>
            <w:tcW w:w="1451" w:type="pct"/>
            <w:tcBorders>
              <w:top w:val="single" w:color="000000" w:sz="4" w:space="0"/>
              <w:left w:val="single" w:color="000000" w:sz="4" w:space="0"/>
              <w:bottom w:val="single" w:color="000000" w:sz="4" w:space="0"/>
              <w:right w:val="single" w:color="000000" w:sz="4" w:space="0"/>
            </w:tcBorders>
            <w:vAlign w:val="center"/>
          </w:tcPr>
          <w:p w14:paraId="3BE4E81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业务学习与培训及时完成率=（实际及时完成的业务学习与培训数/计划业务学习与培训数）×100%。</w:t>
            </w:r>
          </w:p>
          <w:p w14:paraId="3C25C09F">
            <w:pPr>
              <w:keepNext w:val="0"/>
              <w:keepLines w:val="0"/>
              <w:widowControl/>
              <w:suppressLineNumbers w:val="0"/>
              <w:jc w:val="left"/>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评分规则：得分=业务学习与培训及时完成率×分值。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0F5B62AA">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宋体" w:hAnsi="宋体" w:eastAsia="宋体" w:cs="宋体"/>
                <w:i w:val="0"/>
                <w:iCs w:val="0"/>
                <w:color w:val="000000"/>
                <w:kern w:val="0"/>
                <w:sz w:val="15"/>
                <w:szCs w:val="15"/>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vAlign w:val="center"/>
          </w:tcPr>
          <w:p w14:paraId="3FE4D180">
            <w:pPr>
              <w:keepNext w:val="0"/>
              <w:keepLines w:val="0"/>
              <w:widowControl/>
              <w:suppressLineNumbers w:val="0"/>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4845E8C0">
            <w:pPr>
              <w:widowControl/>
              <w:jc w:val="center"/>
              <w:textAlignment w:val="center"/>
              <w:rPr>
                <w:rFonts w:hint="eastAsia" w:asciiTheme="minorEastAsia" w:hAnsiTheme="minorEastAsia" w:eastAsiaTheme="minorEastAsia" w:cstheme="minorEastAsia"/>
                <w:kern w:val="0"/>
                <w:sz w:val="15"/>
                <w:szCs w:val="15"/>
                <w:lang w:bidi="ar"/>
              </w:rPr>
            </w:pPr>
          </w:p>
        </w:tc>
      </w:tr>
      <w:tr w14:paraId="28E4BB7E">
        <w:tblPrEx>
          <w:tblCellMar>
            <w:top w:w="0" w:type="dxa"/>
            <w:left w:w="108" w:type="dxa"/>
            <w:bottom w:w="0" w:type="dxa"/>
            <w:right w:w="108" w:type="dxa"/>
          </w:tblCellMar>
        </w:tblPrEx>
        <w:trPr>
          <w:trHeight w:val="960" w:hRule="atLeast"/>
        </w:trPr>
        <w:tc>
          <w:tcPr>
            <w:tcW w:w="316" w:type="pct"/>
            <w:vMerge w:val="continue"/>
            <w:tcBorders>
              <w:top w:val="single" w:color="000000" w:sz="4" w:space="0"/>
              <w:left w:val="single" w:color="000000" w:sz="4" w:space="0"/>
              <w:bottom w:val="single" w:color="auto" w:sz="4" w:space="0"/>
              <w:right w:val="single" w:color="000000" w:sz="4" w:space="0"/>
            </w:tcBorders>
            <w:vAlign w:val="center"/>
          </w:tcPr>
          <w:p w14:paraId="1B96EB8E">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07D75C3D">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auto" w:sz="4" w:space="0"/>
              <w:right w:val="single" w:color="000000" w:sz="4" w:space="0"/>
            </w:tcBorders>
            <w:vAlign w:val="center"/>
          </w:tcPr>
          <w:p w14:paraId="6BFA45BB">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纪检监察工作有效性</w:t>
            </w:r>
          </w:p>
        </w:tc>
        <w:tc>
          <w:tcPr>
            <w:tcW w:w="464" w:type="pct"/>
            <w:tcBorders>
              <w:top w:val="single" w:color="000000" w:sz="4" w:space="0"/>
              <w:left w:val="single" w:color="000000" w:sz="4" w:space="0"/>
              <w:bottom w:val="single" w:color="auto" w:sz="4" w:space="0"/>
              <w:right w:val="single" w:color="000000" w:sz="4" w:space="0"/>
            </w:tcBorders>
            <w:vAlign w:val="center"/>
          </w:tcPr>
          <w:p w14:paraId="7B52124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有效</w:t>
            </w:r>
          </w:p>
        </w:tc>
        <w:tc>
          <w:tcPr>
            <w:tcW w:w="352" w:type="pct"/>
            <w:tcBorders>
              <w:top w:val="single" w:color="000000" w:sz="4" w:space="0"/>
              <w:left w:val="single" w:color="000000" w:sz="4" w:space="0"/>
              <w:bottom w:val="single" w:color="auto" w:sz="4" w:space="0"/>
              <w:right w:val="single" w:color="000000" w:sz="4" w:space="0"/>
            </w:tcBorders>
            <w:vAlign w:val="center"/>
          </w:tcPr>
          <w:p w14:paraId="169393F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auto" w:sz="4" w:space="0"/>
              <w:right w:val="single" w:color="000000" w:sz="4" w:space="0"/>
            </w:tcBorders>
            <w:vAlign w:val="center"/>
          </w:tcPr>
          <w:p w14:paraId="620FED3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评价要点：①纪检监督工作实施程序规范、相关资料完整；②纪检监督结果切实运用。</w:t>
            </w:r>
          </w:p>
          <w:p w14:paraId="33FBFAA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auto" w:sz="4" w:space="0"/>
              <w:right w:val="single" w:color="000000" w:sz="4" w:space="0"/>
            </w:tcBorders>
            <w:vAlign w:val="center"/>
          </w:tcPr>
          <w:p w14:paraId="5990A29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有效</w:t>
            </w:r>
          </w:p>
        </w:tc>
        <w:tc>
          <w:tcPr>
            <w:tcW w:w="316" w:type="pct"/>
            <w:tcBorders>
              <w:top w:val="single" w:color="000000" w:sz="4" w:space="0"/>
              <w:left w:val="single" w:color="000000" w:sz="4" w:space="0"/>
              <w:bottom w:val="single" w:color="auto" w:sz="4" w:space="0"/>
              <w:right w:val="single" w:color="000000" w:sz="4" w:space="0"/>
            </w:tcBorders>
            <w:vAlign w:val="center"/>
          </w:tcPr>
          <w:p w14:paraId="1CBA166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29FB4DCF">
            <w:pPr>
              <w:widowControl/>
              <w:jc w:val="center"/>
              <w:textAlignment w:val="center"/>
              <w:rPr>
                <w:rFonts w:hint="eastAsia" w:asciiTheme="minorEastAsia" w:hAnsiTheme="minorEastAsia" w:eastAsiaTheme="minorEastAsia" w:cstheme="minorEastAsia"/>
                <w:kern w:val="0"/>
                <w:sz w:val="15"/>
                <w:szCs w:val="15"/>
                <w:lang w:bidi="ar"/>
              </w:rPr>
            </w:pPr>
          </w:p>
        </w:tc>
      </w:tr>
      <w:tr w14:paraId="1448E4EB">
        <w:tblPrEx>
          <w:tblCellMar>
            <w:top w:w="0" w:type="dxa"/>
            <w:left w:w="108" w:type="dxa"/>
            <w:bottom w:w="0" w:type="dxa"/>
            <w:right w:w="108" w:type="dxa"/>
          </w:tblCellMar>
        </w:tblPrEx>
        <w:trPr>
          <w:trHeight w:val="1264" w:hRule="atLeast"/>
        </w:trPr>
        <w:tc>
          <w:tcPr>
            <w:tcW w:w="316" w:type="pct"/>
            <w:vMerge w:val="restart"/>
            <w:tcBorders>
              <w:top w:val="single" w:color="auto" w:sz="4" w:space="0"/>
              <w:left w:val="single" w:color="auto" w:sz="4" w:space="0"/>
              <w:bottom w:val="single" w:color="000000" w:sz="4" w:space="0"/>
              <w:right w:val="single" w:color="000000" w:sz="4" w:space="0"/>
            </w:tcBorders>
            <w:vAlign w:val="center"/>
          </w:tcPr>
          <w:p w14:paraId="69F99A9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履职（40）</w:t>
            </w:r>
          </w:p>
        </w:tc>
        <w:tc>
          <w:tcPr>
            <w:tcW w:w="353" w:type="pct"/>
            <w:vMerge w:val="restart"/>
            <w:tcBorders>
              <w:top w:val="single" w:color="auto" w:sz="4" w:space="0"/>
              <w:left w:val="single" w:color="000000" w:sz="4" w:space="0"/>
              <w:bottom w:val="single" w:color="auto" w:sz="4" w:space="0"/>
              <w:right w:val="single" w:color="000000" w:sz="4" w:space="0"/>
            </w:tcBorders>
            <w:vAlign w:val="center"/>
          </w:tcPr>
          <w:p w14:paraId="27ABF662">
            <w:pPr>
              <w:widowControl/>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节能技术服务（16）</w:t>
            </w:r>
          </w:p>
        </w:tc>
        <w:tc>
          <w:tcPr>
            <w:tcW w:w="866" w:type="pct"/>
            <w:tcBorders>
              <w:top w:val="single" w:color="auto" w:sz="4" w:space="0"/>
              <w:left w:val="single" w:color="000000" w:sz="4" w:space="0"/>
              <w:bottom w:val="single" w:color="000000" w:sz="4" w:space="0"/>
              <w:right w:val="single" w:color="000000" w:sz="4" w:space="0"/>
            </w:tcBorders>
            <w:vAlign w:val="center"/>
          </w:tcPr>
          <w:p w14:paraId="0B17E68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全</w:t>
            </w:r>
            <w:r>
              <w:rPr>
                <w:rFonts w:hint="eastAsia" w:asciiTheme="minorEastAsia" w:hAnsiTheme="minorEastAsia" w:eastAsiaTheme="minorEastAsia" w:cstheme="minorEastAsia"/>
                <w:sz w:val="15"/>
                <w:szCs w:val="15"/>
                <w:highlight w:val="none"/>
              </w:rPr>
              <w:t>力做好固定资产投资项目节能评审</w:t>
            </w:r>
          </w:p>
        </w:tc>
        <w:tc>
          <w:tcPr>
            <w:tcW w:w="464" w:type="pct"/>
            <w:tcBorders>
              <w:top w:val="single" w:color="auto" w:sz="4" w:space="0"/>
              <w:left w:val="single" w:color="000000" w:sz="4" w:space="0"/>
              <w:bottom w:val="single" w:color="000000" w:sz="4" w:space="0"/>
              <w:right w:val="single" w:color="000000" w:sz="4" w:space="0"/>
            </w:tcBorders>
            <w:vAlign w:val="center"/>
          </w:tcPr>
          <w:p w14:paraId="2EF42D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auto" w:sz="4" w:space="0"/>
              <w:left w:val="single" w:color="000000" w:sz="4" w:space="0"/>
              <w:bottom w:val="single" w:color="000000" w:sz="4" w:space="0"/>
              <w:right w:val="single" w:color="000000" w:sz="4" w:space="0"/>
            </w:tcBorders>
            <w:vAlign w:val="center"/>
          </w:tcPr>
          <w:p w14:paraId="6879BAE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auto" w:sz="4" w:space="0"/>
              <w:left w:val="single" w:color="000000" w:sz="4" w:space="0"/>
              <w:bottom w:val="single" w:color="000000" w:sz="4" w:space="0"/>
              <w:right w:val="single" w:color="000000" w:sz="4" w:space="0"/>
            </w:tcBorders>
            <w:vAlign w:val="center"/>
          </w:tcPr>
          <w:p w14:paraId="2104466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评价要点：考察节能中心根据要求制定完善方案的进度和质量情况。</w:t>
            </w:r>
          </w:p>
          <w:p w14:paraId="3C0CA08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auto" w:sz="4" w:space="0"/>
              <w:left w:val="single" w:color="000000" w:sz="4" w:space="0"/>
              <w:bottom w:val="single" w:color="000000" w:sz="4" w:space="0"/>
              <w:right w:val="single" w:color="000000" w:sz="4" w:space="0"/>
            </w:tcBorders>
            <w:vAlign w:val="center"/>
          </w:tcPr>
          <w:p w14:paraId="4B7711B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auto" w:sz="4" w:space="0"/>
              <w:left w:val="single" w:color="000000" w:sz="4" w:space="0"/>
              <w:bottom w:val="single" w:color="000000" w:sz="4" w:space="0"/>
              <w:right w:val="single" w:color="auto" w:sz="4" w:space="0"/>
            </w:tcBorders>
            <w:vAlign w:val="center"/>
          </w:tcPr>
          <w:p w14:paraId="31F0706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7015ED98">
            <w:pPr>
              <w:widowControl/>
              <w:jc w:val="center"/>
              <w:textAlignment w:val="center"/>
              <w:rPr>
                <w:rFonts w:hint="eastAsia" w:asciiTheme="minorEastAsia" w:hAnsiTheme="minorEastAsia" w:eastAsiaTheme="minorEastAsia" w:cstheme="minorEastAsia"/>
                <w:kern w:val="0"/>
                <w:sz w:val="15"/>
                <w:szCs w:val="15"/>
                <w:lang w:bidi="ar"/>
              </w:rPr>
            </w:pPr>
          </w:p>
        </w:tc>
      </w:tr>
      <w:tr w14:paraId="11ED9BEE">
        <w:tblPrEx>
          <w:tblCellMar>
            <w:top w:w="0" w:type="dxa"/>
            <w:left w:w="108" w:type="dxa"/>
            <w:bottom w:w="0" w:type="dxa"/>
            <w:right w:w="108" w:type="dxa"/>
          </w:tblCellMar>
        </w:tblPrEx>
        <w:trPr>
          <w:trHeight w:val="2050" w:hRule="atLeast"/>
        </w:trPr>
        <w:tc>
          <w:tcPr>
            <w:tcW w:w="316" w:type="pct"/>
            <w:vMerge w:val="continue"/>
            <w:tcBorders>
              <w:top w:val="single" w:color="000000" w:sz="4" w:space="0"/>
              <w:left w:val="single" w:color="auto" w:sz="4" w:space="0"/>
              <w:bottom w:val="single" w:color="000000" w:sz="4" w:space="0"/>
              <w:right w:val="single" w:color="000000" w:sz="4" w:space="0"/>
            </w:tcBorders>
            <w:vAlign w:val="center"/>
          </w:tcPr>
          <w:p w14:paraId="4B82D939">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75D42EFA">
            <w:pPr>
              <w:widowControl/>
              <w:jc w:val="left"/>
              <w:textAlignment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681B33C4">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为用能单位提供节能诊断、能效水平评估、能源审计、能源管理体系创建、清洁生产审核等节能技术支持，协助用能单位（园区）创建绿色工厂（绿色产品、绿色供应链、绿色园区）</w:t>
            </w:r>
            <w:r>
              <w:rPr>
                <w:rFonts w:hint="eastAsia" w:asciiTheme="minorEastAsia" w:hAnsiTheme="minorEastAsia" w:eastAsiaTheme="minorEastAsia" w:cstheme="minorEastAsia"/>
                <w:kern w:val="0"/>
                <w:sz w:val="15"/>
                <w:szCs w:val="15"/>
                <w:lang w:eastAsia="zh-CN" w:bidi="ar"/>
              </w:rPr>
              <w:t>、零碳工厂</w:t>
            </w:r>
          </w:p>
        </w:tc>
        <w:tc>
          <w:tcPr>
            <w:tcW w:w="464" w:type="pct"/>
            <w:tcBorders>
              <w:top w:val="single" w:color="000000" w:sz="4" w:space="0"/>
              <w:left w:val="single" w:color="000000" w:sz="4" w:space="0"/>
              <w:bottom w:val="single" w:color="000000" w:sz="4" w:space="0"/>
              <w:right w:val="single" w:color="000000" w:sz="4" w:space="0"/>
            </w:tcBorders>
            <w:vAlign w:val="center"/>
          </w:tcPr>
          <w:p w14:paraId="769DC54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1DA66E9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14EE68DC">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评价要点：考察节能中心为企事业单位提供节能技术服务支持情况。</w:t>
            </w:r>
          </w:p>
          <w:p w14:paraId="19398203">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4E3D688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000000" w:sz="4" w:space="0"/>
              <w:right w:val="single" w:color="auto" w:sz="4" w:space="0"/>
            </w:tcBorders>
            <w:vAlign w:val="center"/>
          </w:tcPr>
          <w:p w14:paraId="24DF1EA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1EA74422">
            <w:pPr>
              <w:widowControl/>
              <w:jc w:val="center"/>
              <w:textAlignment w:val="center"/>
              <w:rPr>
                <w:rFonts w:hint="eastAsia" w:asciiTheme="minorEastAsia" w:hAnsiTheme="minorEastAsia" w:eastAsiaTheme="minorEastAsia" w:cstheme="minorEastAsia"/>
                <w:kern w:val="0"/>
                <w:sz w:val="15"/>
                <w:szCs w:val="15"/>
                <w:lang w:bidi="ar"/>
              </w:rPr>
            </w:pPr>
          </w:p>
        </w:tc>
      </w:tr>
      <w:tr w14:paraId="1DD27AC0">
        <w:tblPrEx>
          <w:tblCellMar>
            <w:top w:w="0" w:type="dxa"/>
            <w:left w:w="108" w:type="dxa"/>
            <w:bottom w:w="0" w:type="dxa"/>
            <w:right w:w="108" w:type="dxa"/>
          </w:tblCellMar>
        </w:tblPrEx>
        <w:trPr>
          <w:trHeight w:val="2040" w:hRule="atLeast"/>
        </w:trPr>
        <w:tc>
          <w:tcPr>
            <w:tcW w:w="316" w:type="pct"/>
            <w:vMerge w:val="continue"/>
            <w:tcBorders>
              <w:top w:val="single" w:color="000000" w:sz="4" w:space="0"/>
              <w:left w:val="single" w:color="auto" w:sz="4" w:space="0"/>
              <w:bottom w:val="single" w:color="000000" w:sz="4" w:space="0"/>
              <w:right w:val="single" w:color="auto" w:sz="4" w:space="0"/>
            </w:tcBorders>
            <w:vAlign w:val="center"/>
          </w:tcPr>
          <w:p w14:paraId="6383A930">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auto" w:sz="4" w:space="0"/>
              <w:bottom w:val="single" w:color="auto" w:sz="4" w:space="0"/>
              <w:right w:val="single" w:color="auto" w:sz="4" w:space="0"/>
            </w:tcBorders>
            <w:vAlign w:val="center"/>
          </w:tcPr>
          <w:p w14:paraId="4CFE8B53">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节能宣传、培训及推广（24）</w:t>
            </w:r>
          </w:p>
        </w:tc>
        <w:tc>
          <w:tcPr>
            <w:tcW w:w="866" w:type="pct"/>
            <w:tcBorders>
              <w:top w:val="single" w:color="000000" w:sz="4" w:space="0"/>
              <w:left w:val="single" w:color="auto" w:sz="4" w:space="0"/>
              <w:bottom w:val="single" w:color="000000" w:sz="4" w:space="0"/>
              <w:right w:val="single" w:color="000000" w:sz="4" w:space="0"/>
            </w:tcBorders>
            <w:vAlign w:val="center"/>
          </w:tcPr>
          <w:p w14:paraId="5C33D6C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节能宣传周期间，围绕“六个一”开展系列节能宣传活动；日常借助期刊、网站等载体开展节能公益宣传</w:t>
            </w:r>
          </w:p>
        </w:tc>
        <w:tc>
          <w:tcPr>
            <w:tcW w:w="464" w:type="pct"/>
            <w:tcBorders>
              <w:top w:val="single" w:color="000000" w:sz="4" w:space="0"/>
              <w:left w:val="single" w:color="000000" w:sz="4" w:space="0"/>
              <w:bottom w:val="single" w:color="000000" w:sz="4" w:space="0"/>
              <w:right w:val="single" w:color="000000" w:sz="4" w:space="0"/>
            </w:tcBorders>
            <w:vAlign w:val="center"/>
          </w:tcPr>
          <w:p w14:paraId="4BC3722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23FEFE3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086A3DE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评价要点：考察①节能宣传周期间，节能中心面向全市工业企业、公共机构和广大市民节能宣传情况；②节能中心日常借助期刊、网站等载体开展节能公益宣传情况。</w:t>
            </w:r>
          </w:p>
          <w:p w14:paraId="6ED463F5">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评分规则：以上评价要点各占1/2分值，工作完成得权重分，否则不得分。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650BA6F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000000" w:sz="4" w:space="0"/>
              <w:right w:val="single" w:color="auto" w:sz="4" w:space="0"/>
            </w:tcBorders>
            <w:vAlign w:val="center"/>
          </w:tcPr>
          <w:p w14:paraId="0B1025A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058015D7">
            <w:pPr>
              <w:widowControl/>
              <w:jc w:val="center"/>
              <w:textAlignment w:val="center"/>
              <w:rPr>
                <w:rFonts w:hint="eastAsia" w:asciiTheme="minorEastAsia" w:hAnsiTheme="minorEastAsia" w:eastAsiaTheme="minorEastAsia" w:cstheme="minorEastAsia"/>
                <w:kern w:val="0"/>
                <w:sz w:val="15"/>
                <w:szCs w:val="15"/>
                <w:lang w:bidi="ar"/>
              </w:rPr>
            </w:pPr>
          </w:p>
        </w:tc>
      </w:tr>
      <w:tr w14:paraId="244B2439">
        <w:tblPrEx>
          <w:tblCellMar>
            <w:top w:w="0" w:type="dxa"/>
            <w:left w:w="108" w:type="dxa"/>
            <w:bottom w:w="0" w:type="dxa"/>
            <w:right w:w="108" w:type="dxa"/>
          </w:tblCellMar>
        </w:tblPrEx>
        <w:trPr>
          <w:trHeight w:val="1180" w:hRule="atLeast"/>
        </w:trPr>
        <w:tc>
          <w:tcPr>
            <w:tcW w:w="316" w:type="pct"/>
            <w:vMerge w:val="continue"/>
            <w:tcBorders>
              <w:top w:val="single" w:color="000000" w:sz="4" w:space="0"/>
              <w:left w:val="single" w:color="auto" w:sz="4" w:space="0"/>
              <w:bottom w:val="single" w:color="000000" w:sz="4" w:space="0"/>
              <w:right w:val="single" w:color="auto" w:sz="4" w:space="0"/>
            </w:tcBorders>
            <w:vAlign w:val="center"/>
          </w:tcPr>
          <w:p w14:paraId="2EBBE095">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78A37CE2">
            <w:pPr>
              <w:widowControl/>
              <w:jc w:val="center"/>
              <w:textAlignment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000000" w:sz="4" w:space="0"/>
              <w:right w:val="single" w:color="000000" w:sz="4" w:space="0"/>
            </w:tcBorders>
            <w:vAlign w:val="center"/>
          </w:tcPr>
          <w:p w14:paraId="32FAD241">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对全市用能单位能管人员开展节能业务培训</w:t>
            </w:r>
          </w:p>
        </w:tc>
        <w:tc>
          <w:tcPr>
            <w:tcW w:w="464" w:type="pct"/>
            <w:tcBorders>
              <w:top w:val="single" w:color="000000" w:sz="4" w:space="0"/>
              <w:left w:val="single" w:color="000000" w:sz="4" w:space="0"/>
              <w:bottom w:val="single" w:color="000000" w:sz="4" w:space="0"/>
              <w:right w:val="single" w:color="000000" w:sz="4" w:space="0"/>
            </w:tcBorders>
            <w:vAlign w:val="center"/>
          </w:tcPr>
          <w:p w14:paraId="5B60CDA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2BBF12F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5C4701D1">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评价要点：考察节能中心对全市用能单位能管人员开展节能业务培训情况。</w:t>
            </w:r>
          </w:p>
          <w:p w14:paraId="2B1D8D5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27C3F0F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000000" w:sz="4" w:space="0"/>
              <w:right w:val="single" w:color="auto" w:sz="4" w:space="0"/>
            </w:tcBorders>
            <w:vAlign w:val="center"/>
          </w:tcPr>
          <w:p w14:paraId="2300DE1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735523CB">
            <w:pPr>
              <w:widowControl/>
              <w:jc w:val="center"/>
              <w:textAlignment w:val="center"/>
              <w:rPr>
                <w:rFonts w:hint="eastAsia" w:asciiTheme="minorEastAsia" w:hAnsiTheme="minorEastAsia" w:eastAsiaTheme="minorEastAsia" w:cstheme="minorEastAsia"/>
                <w:kern w:val="0"/>
                <w:sz w:val="15"/>
                <w:szCs w:val="15"/>
                <w:lang w:bidi="ar"/>
              </w:rPr>
            </w:pPr>
          </w:p>
        </w:tc>
      </w:tr>
      <w:tr w14:paraId="537F2238">
        <w:tblPrEx>
          <w:tblCellMar>
            <w:top w:w="0" w:type="dxa"/>
            <w:left w:w="108" w:type="dxa"/>
            <w:bottom w:w="0" w:type="dxa"/>
            <w:right w:w="108" w:type="dxa"/>
          </w:tblCellMar>
        </w:tblPrEx>
        <w:trPr>
          <w:trHeight w:val="1205" w:hRule="atLeast"/>
        </w:trPr>
        <w:tc>
          <w:tcPr>
            <w:tcW w:w="316" w:type="pct"/>
            <w:vMerge w:val="continue"/>
            <w:tcBorders>
              <w:top w:val="single" w:color="000000" w:sz="4" w:space="0"/>
              <w:left w:val="single" w:color="auto" w:sz="4" w:space="0"/>
              <w:bottom w:val="single" w:color="000000" w:sz="4" w:space="0"/>
              <w:right w:val="single" w:color="auto" w:sz="4" w:space="0"/>
            </w:tcBorders>
            <w:vAlign w:val="center"/>
          </w:tcPr>
          <w:p w14:paraId="71B973BF">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729A6CCE">
            <w:pPr>
              <w:widowControl/>
              <w:jc w:val="center"/>
              <w:textAlignment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000000" w:sz="4" w:space="0"/>
              <w:right w:val="single" w:color="000000" w:sz="4" w:space="0"/>
            </w:tcBorders>
            <w:vAlign w:val="center"/>
          </w:tcPr>
          <w:p w14:paraId="294D15F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组织节能技术解决方案供应商和用能单位开展供需对接活动，推广节能新技术和新产品</w:t>
            </w:r>
          </w:p>
        </w:tc>
        <w:tc>
          <w:tcPr>
            <w:tcW w:w="464" w:type="pct"/>
            <w:tcBorders>
              <w:top w:val="single" w:color="000000" w:sz="4" w:space="0"/>
              <w:left w:val="single" w:color="000000" w:sz="4" w:space="0"/>
              <w:bottom w:val="single" w:color="000000" w:sz="4" w:space="0"/>
              <w:right w:val="single" w:color="000000" w:sz="4" w:space="0"/>
            </w:tcBorders>
            <w:vAlign w:val="center"/>
          </w:tcPr>
          <w:p w14:paraId="0D4FA92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4419E90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310DAEE6">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评价要点：考察节能新技术和新产品推广</w:t>
            </w:r>
          </w:p>
          <w:p w14:paraId="74FB82F8">
            <w:pPr>
              <w:widowControl/>
              <w:jc w:val="left"/>
              <w:textAlignment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6FDC66F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000000" w:sz="4" w:space="0"/>
              <w:right w:val="single" w:color="auto" w:sz="4" w:space="0"/>
            </w:tcBorders>
            <w:vAlign w:val="center"/>
          </w:tcPr>
          <w:p w14:paraId="756804B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32892C8E">
            <w:pPr>
              <w:widowControl/>
              <w:jc w:val="center"/>
              <w:textAlignment w:val="center"/>
              <w:rPr>
                <w:rFonts w:hint="eastAsia" w:asciiTheme="minorEastAsia" w:hAnsiTheme="minorEastAsia" w:eastAsiaTheme="minorEastAsia" w:cstheme="minorEastAsia"/>
                <w:kern w:val="0"/>
                <w:sz w:val="15"/>
                <w:szCs w:val="15"/>
                <w:lang w:bidi="ar"/>
              </w:rPr>
            </w:pPr>
          </w:p>
        </w:tc>
      </w:tr>
      <w:tr w14:paraId="4845D203">
        <w:tblPrEx>
          <w:tblCellMar>
            <w:top w:w="0" w:type="dxa"/>
            <w:left w:w="108" w:type="dxa"/>
            <w:bottom w:w="0" w:type="dxa"/>
            <w:right w:w="108" w:type="dxa"/>
          </w:tblCellMar>
        </w:tblPrEx>
        <w:trPr>
          <w:trHeight w:val="1350" w:hRule="atLeast"/>
        </w:trPr>
        <w:tc>
          <w:tcPr>
            <w:tcW w:w="316" w:type="pct"/>
            <w:vMerge w:val="restart"/>
            <w:tcBorders>
              <w:top w:val="single" w:color="000000" w:sz="4" w:space="0"/>
              <w:left w:val="single" w:color="auto" w:sz="4" w:space="0"/>
              <w:bottom w:val="single" w:color="auto" w:sz="4" w:space="0"/>
              <w:right w:val="single" w:color="000000" w:sz="4" w:space="0"/>
            </w:tcBorders>
            <w:vAlign w:val="center"/>
          </w:tcPr>
          <w:p w14:paraId="4F50A7FE">
            <w:pPr>
              <w:widowControl/>
              <w:jc w:val="center"/>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效益（14）</w:t>
            </w:r>
          </w:p>
          <w:p w14:paraId="64499975">
            <w:pPr>
              <w:widowControl/>
              <w:jc w:val="center"/>
              <w:textAlignment w:val="center"/>
              <w:rPr>
                <w:rFonts w:hint="eastAsia" w:asciiTheme="minorEastAsia" w:hAnsiTheme="minorEastAsia" w:eastAsiaTheme="minorEastAsia" w:cstheme="minorEastAsia"/>
                <w:sz w:val="15"/>
                <w:szCs w:val="15"/>
                <w:lang w:eastAsia="zh-CN"/>
              </w:rPr>
            </w:pPr>
          </w:p>
        </w:tc>
        <w:tc>
          <w:tcPr>
            <w:tcW w:w="353" w:type="pct"/>
            <w:tcBorders>
              <w:top w:val="single" w:color="auto" w:sz="4" w:space="0"/>
              <w:left w:val="single" w:color="000000" w:sz="4" w:space="0"/>
              <w:bottom w:val="single" w:color="auto" w:sz="4" w:space="0"/>
              <w:right w:val="single" w:color="000000" w:sz="4" w:space="0"/>
            </w:tcBorders>
            <w:vAlign w:val="center"/>
          </w:tcPr>
          <w:p w14:paraId="769103B4">
            <w:pPr>
              <w:widowControl/>
              <w:jc w:val="center"/>
              <w:textAlignment w:val="center"/>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kern w:val="0"/>
                <w:sz w:val="15"/>
                <w:szCs w:val="15"/>
                <w:highlight w:val="none"/>
                <w:lang w:eastAsia="zh-CN" w:bidi="ar"/>
              </w:rPr>
              <w:t>经济</w:t>
            </w:r>
            <w:r>
              <w:rPr>
                <w:rFonts w:hint="eastAsia" w:asciiTheme="minorEastAsia" w:hAnsiTheme="minorEastAsia" w:eastAsiaTheme="minorEastAsia" w:cstheme="minorEastAsia"/>
                <w:kern w:val="0"/>
                <w:sz w:val="15"/>
                <w:szCs w:val="15"/>
                <w:highlight w:val="none"/>
                <w:lang w:bidi="ar"/>
              </w:rPr>
              <w:t>效益（</w:t>
            </w:r>
            <w:r>
              <w:rPr>
                <w:rFonts w:hint="eastAsia" w:asciiTheme="minorEastAsia" w:hAnsiTheme="minorEastAsia" w:eastAsiaTheme="minorEastAsia" w:cstheme="minorEastAsia"/>
                <w:kern w:val="0"/>
                <w:sz w:val="15"/>
                <w:szCs w:val="15"/>
                <w:highlight w:val="none"/>
                <w:lang w:val="en-US" w:eastAsia="zh-CN" w:bidi="ar"/>
              </w:rPr>
              <w:t>2</w:t>
            </w:r>
            <w:r>
              <w:rPr>
                <w:rFonts w:hint="eastAsia" w:asciiTheme="minorEastAsia" w:hAnsiTheme="minorEastAsia" w:eastAsiaTheme="minorEastAsia" w:cstheme="minorEastAsia"/>
                <w:kern w:val="0"/>
                <w:sz w:val="15"/>
                <w:szCs w:val="15"/>
                <w:highlight w:val="none"/>
                <w:lang w:bidi="ar"/>
              </w:rPr>
              <w:t>）</w:t>
            </w:r>
          </w:p>
        </w:tc>
        <w:tc>
          <w:tcPr>
            <w:tcW w:w="866" w:type="pct"/>
            <w:tcBorders>
              <w:top w:val="single" w:color="000000" w:sz="4" w:space="0"/>
              <w:left w:val="single" w:color="000000" w:sz="4" w:space="0"/>
              <w:bottom w:val="single" w:color="auto" w:sz="4" w:space="0"/>
              <w:right w:val="single" w:color="000000" w:sz="4" w:space="0"/>
            </w:tcBorders>
            <w:vAlign w:val="center"/>
          </w:tcPr>
          <w:p w14:paraId="3448074E">
            <w:pPr>
              <w:widowControl/>
              <w:jc w:val="left"/>
              <w:textAlignment w:val="center"/>
              <w:rPr>
                <w:rFonts w:hint="eastAsia" w:asciiTheme="minorEastAsia" w:hAnsiTheme="minorEastAsia" w:eastAsiaTheme="minorEastAsia" w:cstheme="minorEastAsia"/>
                <w:sz w:val="15"/>
                <w:szCs w:val="15"/>
                <w:highlight w:val="none"/>
                <w:lang w:eastAsia="zh-CN"/>
              </w:rPr>
            </w:pPr>
            <w:r>
              <w:rPr>
                <w:rFonts w:hint="eastAsia" w:asciiTheme="minorEastAsia" w:hAnsiTheme="minorEastAsia" w:eastAsiaTheme="minorEastAsia" w:cstheme="minorEastAsia"/>
                <w:kern w:val="0"/>
                <w:sz w:val="15"/>
                <w:szCs w:val="15"/>
                <w:highlight w:val="none"/>
                <w:lang w:eastAsia="zh-CN" w:bidi="ar"/>
              </w:rPr>
              <w:t>实施公益性节能诊断服务，引导企业节能降耗、降本增效</w:t>
            </w:r>
          </w:p>
        </w:tc>
        <w:tc>
          <w:tcPr>
            <w:tcW w:w="464" w:type="pct"/>
            <w:tcBorders>
              <w:top w:val="single" w:color="000000" w:sz="4" w:space="0"/>
              <w:left w:val="single" w:color="000000" w:sz="4" w:space="0"/>
              <w:bottom w:val="single" w:color="auto" w:sz="4" w:space="0"/>
              <w:right w:val="single" w:color="000000" w:sz="4" w:space="0"/>
            </w:tcBorders>
            <w:vAlign w:val="center"/>
          </w:tcPr>
          <w:p w14:paraId="4A4CF900">
            <w:pPr>
              <w:widowControl/>
              <w:jc w:val="center"/>
              <w:textAlignment w:val="center"/>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kern w:val="0"/>
                <w:sz w:val="15"/>
                <w:szCs w:val="15"/>
                <w:highlight w:val="none"/>
                <w:lang w:bidi="ar"/>
              </w:rPr>
              <w:t>完成</w:t>
            </w:r>
          </w:p>
        </w:tc>
        <w:tc>
          <w:tcPr>
            <w:tcW w:w="352" w:type="pct"/>
            <w:tcBorders>
              <w:top w:val="single" w:color="000000" w:sz="4" w:space="0"/>
              <w:left w:val="single" w:color="000000" w:sz="4" w:space="0"/>
              <w:bottom w:val="single" w:color="auto" w:sz="4" w:space="0"/>
              <w:right w:val="single" w:color="000000" w:sz="4" w:space="0"/>
            </w:tcBorders>
            <w:vAlign w:val="center"/>
          </w:tcPr>
          <w:p w14:paraId="05F961A6">
            <w:pPr>
              <w:widowControl/>
              <w:jc w:val="center"/>
              <w:textAlignment w:val="center"/>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kern w:val="0"/>
                <w:sz w:val="15"/>
                <w:szCs w:val="15"/>
                <w:highlight w:val="none"/>
                <w:lang w:val="en-US" w:eastAsia="zh-CN" w:bidi="ar"/>
              </w:rPr>
              <w:t>2</w:t>
            </w:r>
            <w:r>
              <w:rPr>
                <w:rFonts w:hint="eastAsia" w:asciiTheme="minorEastAsia" w:hAnsiTheme="minorEastAsia" w:eastAsiaTheme="minorEastAsia" w:cstheme="minorEastAsia"/>
                <w:kern w:val="0"/>
                <w:sz w:val="15"/>
                <w:szCs w:val="15"/>
                <w:highlight w:val="none"/>
                <w:lang w:bidi="ar"/>
              </w:rPr>
              <w:t xml:space="preserve">.00 </w:t>
            </w:r>
          </w:p>
        </w:tc>
        <w:tc>
          <w:tcPr>
            <w:tcW w:w="1451" w:type="pct"/>
            <w:tcBorders>
              <w:top w:val="single" w:color="000000" w:sz="4" w:space="0"/>
              <w:left w:val="single" w:color="000000" w:sz="4" w:space="0"/>
              <w:bottom w:val="single" w:color="auto" w:sz="4" w:space="0"/>
              <w:right w:val="single" w:color="000000" w:sz="4" w:space="0"/>
            </w:tcBorders>
            <w:vAlign w:val="center"/>
          </w:tcPr>
          <w:p w14:paraId="4B23DF51">
            <w:pPr>
              <w:widowControl/>
              <w:jc w:val="left"/>
              <w:textAlignment w:val="center"/>
              <w:rPr>
                <w:rFonts w:hint="eastAsia" w:asciiTheme="minorEastAsia" w:hAnsiTheme="minorEastAsia" w:eastAsiaTheme="minorEastAsia" w:cstheme="minorEastAsia"/>
                <w:kern w:val="0"/>
                <w:sz w:val="15"/>
                <w:szCs w:val="15"/>
                <w:highlight w:val="none"/>
                <w:lang w:bidi="ar"/>
              </w:rPr>
            </w:pPr>
            <w:r>
              <w:rPr>
                <w:rFonts w:hint="eastAsia" w:asciiTheme="minorEastAsia" w:hAnsiTheme="minorEastAsia" w:eastAsiaTheme="minorEastAsia" w:cstheme="minorEastAsia"/>
                <w:kern w:val="0"/>
                <w:sz w:val="15"/>
                <w:szCs w:val="15"/>
                <w:highlight w:val="none"/>
                <w:lang w:bidi="ar"/>
              </w:rPr>
              <w:t>评价要点：①节能中心对引导企业节能降耗的经济价值；②节能中心对引导企业降本增效的经济价值。</w:t>
            </w:r>
          </w:p>
          <w:p w14:paraId="3A3B013D">
            <w:pPr>
              <w:widowControl/>
              <w:jc w:val="left"/>
              <w:textAlignment w:val="center"/>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kern w:val="0"/>
                <w:sz w:val="15"/>
                <w:szCs w:val="15"/>
                <w:highlight w:val="none"/>
                <w:lang w:bidi="ar"/>
              </w:rPr>
              <w:t>评分规则：以上评价要点各占1/2分值，工作完成得权重分，否则不得分。</w:t>
            </w:r>
          </w:p>
        </w:tc>
        <w:tc>
          <w:tcPr>
            <w:tcW w:w="416" w:type="pct"/>
            <w:tcBorders>
              <w:top w:val="single" w:color="000000" w:sz="4" w:space="0"/>
              <w:left w:val="single" w:color="000000" w:sz="4" w:space="0"/>
              <w:bottom w:val="single" w:color="auto" w:sz="4" w:space="0"/>
              <w:right w:val="single" w:color="000000" w:sz="4" w:space="0"/>
            </w:tcBorders>
            <w:vAlign w:val="center"/>
          </w:tcPr>
          <w:p w14:paraId="04AB60B3">
            <w:pPr>
              <w:widowControl/>
              <w:jc w:val="center"/>
              <w:textAlignment w:val="center"/>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kern w:val="0"/>
                <w:sz w:val="15"/>
                <w:szCs w:val="15"/>
                <w:highlight w:val="none"/>
                <w:lang w:bidi="ar"/>
              </w:rPr>
              <w:t>完成</w:t>
            </w:r>
          </w:p>
        </w:tc>
        <w:tc>
          <w:tcPr>
            <w:tcW w:w="316" w:type="pct"/>
            <w:tcBorders>
              <w:top w:val="single" w:color="000000" w:sz="4" w:space="0"/>
              <w:left w:val="single" w:color="000000" w:sz="4" w:space="0"/>
              <w:bottom w:val="single" w:color="auto" w:sz="4" w:space="0"/>
              <w:right w:val="single" w:color="auto" w:sz="4" w:space="0"/>
            </w:tcBorders>
            <w:vAlign w:val="center"/>
          </w:tcPr>
          <w:p w14:paraId="3DA956D8">
            <w:pPr>
              <w:widowControl/>
              <w:jc w:val="center"/>
              <w:textAlignment w:val="center"/>
              <w:rPr>
                <w:rFonts w:hint="eastAsia"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kern w:val="0"/>
                <w:sz w:val="15"/>
                <w:szCs w:val="15"/>
                <w:highlight w:val="none"/>
                <w:lang w:val="en-US" w:eastAsia="zh-CN" w:bidi="ar"/>
              </w:rPr>
              <w:t>2</w:t>
            </w:r>
            <w:r>
              <w:rPr>
                <w:rFonts w:hint="eastAsia" w:asciiTheme="minorEastAsia" w:hAnsiTheme="minorEastAsia" w:eastAsiaTheme="minorEastAsia" w:cstheme="minorEastAsia"/>
                <w:kern w:val="0"/>
                <w:sz w:val="15"/>
                <w:szCs w:val="15"/>
                <w:highlight w:val="none"/>
                <w:lang w:bidi="ar"/>
              </w:rPr>
              <w:t xml:space="preserve">.00 </w:t>
            </w:r>
          </w:p>
        </w:tc>
        <w:tc>
          <w:tcPr>
            <w:tcW w:w="464" w:type="pct"/>
            <w:tcBorders>
              <w:top w:val="single" w:color="000000" w:sz="4" w:space="0"/>
              <w:left w:val="single" w:color="auto" w:sz="4" w:space="0"/>
              <w:bottom w:val="single" w:color="000000" w:sz="4" w:space="0"/>
              <w:right w:val="single" w:color="000000" w:sz="4" w:space="0"/>
            </w:tcBorders>
            <w:vAlign w:val="center"/>
          </w:tcPr>
          <w:p w14:paraId="24756F91">
            <w:pPr>
              <w:widowControl/>
              <w:jc w:val="center"/>
              <w:textAlignment w:val="center"/>
              <w:rPr>
                <w:rFonts w:hint="eastAsia" w:asciiTheme="minorEastAsia" w:hAnsiTheme="minorEastAsia" w:eastAsiaTheme="minorEastAsia" w:cstheme="minorEastAsia"/>
                <w:kern w:val="0"/>
                <w:sz w:val="15"/>
                <w:szCs w:val="15"/>
                <w:lang w:bidi="ar"/>
              </w:rPr>
            </w:pPr>
          </w:p>
        </w:tc>
      </w:tr>
      <w:tr w14:paraId="06FE9541">
        <w:tblPrEx>
          <w:tblCellMar>
            <w:top w:w="0" w:type="dxa"/>
            <w:left w:w="108" w:type="dxa"/>
            <w:bottom w:w="0" w:type="dxa"/>
            <w:right w:w="108" w:type="dxa"/>
          </w:tblCellMar>
        </w:tblPrEx>
        <w:trPr>
          <w:trHeight w:val="1497" w:hRule="atLeast"/>
        </w:trPr>
        <w:tc>
          <w:tcPr>
            <w:tcW w:w="316" w:type="pct"/>
            <w:vMerge w:val="continue"/>
            <w:tcBorders>
              <w:left w:val="single" w:color="auto" w:sz="4" w:space="0"/>
              <w:right w:val="single" w:color="000000" w:sz="4" w:space="0"/>
            </w:tcBorders>
            <w:vAlign w:val="center"/>
          </w:tcPr>
          <w:p w14:paraId="065237F9">
            <w:pPr>
              <w:widowControl/>
              <w:jc w:val="center"/>
              <w:textAlignment w:val="center"/>
              <w:rPr>
                <w:rFonts w:hint="eastAsia" w:asciiTheme="minorEastAsia" w:hAnsiTheme="minorEastAsia" w:eastAsiaTheme="minorEastAsia" w:cstheme="minorEastAsia"/>
                <w:sz w:val="15"/>
                <w:szCs w:val="15"/>
              </w:rPr>
            </w:pPr>
          </w:p>
        </w:tc>
        <w:tc>
          <w:tcPr>
            <w:tcW w:w="353" w:type="pct"/>
            <w:tcBorders>
              <w:top w:val="single" w:color="auto" w:sz="4" w:space="0"/>
              <w:left w:val="single" w:color="000000" w:sz="4" w:space="0"/>
              <w:bottom w:val="single" w:color="auto" w:sz="4" w:space="0"/>
              <w:right w:val="single" w:color="000000" w:sz="4" w:space="0"/>
            </w:tcBorders>
            <w:shd w:val="clear" w:color="auto" w:fill="auto"/>
            <w:vAlign w:val="center"/>
          </w:tcPr>
          <w:p w14:paraId="17D2D276">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社会效益（</w:t>
            </w:r>
            <w:r>
              <w:rPr>
                <w:rFonts w:hint="eastAsia" w:asciiTheme="minorEastAsia" w:hAnsiTheme="minorEastAsia" w:eastAsiaTheme="minorEastAsia" w:cstheme="minorEastAsia"/>
                <w:kern w:val="0"/>
                <w:sz w:val="15"/>
                <w:szCs w:val="15"/>
                <w:lang w:val="en-US" w:eastAsia="zh-CN" w:bidi="ar"/>
              </w:rPr>
              <w:t>4</w:t>
            </w:r>
            <w:r>
              <w:rPr>
                <w:rFonts w:hint="eastAsia" w:asciiTheme="minorEastAsia" w:hAnsiTheme="minorEastAsia" w:eastAsiaTheme="minorEastAsia" w:cstheme="minorEastAsia"/>
                <w:kern w:val="0"/>
                <w:sz w:val="15"/>
                <w:szCs w:val="15"/>
                <w:lang w:bidi="ar"/>
              </w:rPr>
              <w:t>）</w:t>
            </w:r>
          </w:p>
        </w:tc>
        <w:tc>
          <w:tcPr>
            <w:tcW w:w="866" w:type="pct"/>
            <w:tcBorders>
              <w:top w:val="single" w:color="000000" w:sz="4" w:space="0"/>
              <w:left w:val="single" w:color="000000" w:sz="4" w:space="0"/>
              <w:bottom w:val="single" w:color="auto" w:sz="4" w:space="0"/>
              <w:right w:val="single" w:color="000000" w:sz="4" w:space="0"/>
            </w:tcBorders>
            <w:shd w:val="clear" w:color="auto" w:fill="auto"/>
            <w:vAlign w:val="center"/>
          </w:tcPr>
          <w:p w14:paraId="3A11DBE4">
            <w:pPr>
              <w:widowControl/>
              <w:jc w:val="left"/>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开展节能技术服务，推动企业节能技术改造、实现绿色低碳发展；开展节能宣传、培训与推广，提高用能单位、公民节能意识</w:t>
            </w:r>
          </w:p>
        </w:tc>
        <w:tc>
          <w:tcPr>
            <w:tcW w:w="464" w:type="pct"/>
            <w:tcBorders>
              <w:top w:val="single" w:color="000000" w:sz="4" w:space="0"/>
              <w:left w:val="single" w:color="000000" w:sz="4" w:space="0"/>
              <w:bottom w:val="single" w:color="auto" w:sz="4" w:space="0"/>
              <w:right w:val="single" w:color="000000" w:sz="4" w:space="0"/>
            </w:tcBorders>
            <w:shd w:val="clear" w:color="auto" w:fill="auto"/>
            <w:vAlign w:val="center"/>
          </w:tcPr>
          <w:p w14:paraId="0B360720">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auto" w:sz="4" w:space="0"/>
              <w:right w:val="single" w:color="000000" w:sz="4" w:space="0"/>
            </w:tcBorders>
            <w:shd w:val="clear" w:color="auto" w:fill="auto"/>
            <w:vAlign w:val="center"/>
          </w:tcPr>
          <w:p w14:paraId="3FC28399">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val="en-US" w:eastAsia="zh-CN" w:bidi="ar"/>
              </w:rPr>
              <w:t>4</w:t>
            </w:r>
            <w:r>
              <w:rPr>
                <w:rFonts w:hint="eastAsia" w:asciiTheme="minorEastAsia" w:hAnsiTheme="minorEastAsia" w:eastAsiaTheme="minorEastAsia" w:cstheme="minorEastAsia"/>
                <w:kern w:val="0"/>
                <w:sz w:val="15"/>
                <w:szCs w:val="15"/>
                <w:lang w:bidi="ar"/>
              </w:rPr>
              <w:t xml:space="preserve">.00 </w:t>
            </w:r>
          </w:p>
        </w:tc>
        <w:tc>
          <w:tcPr>
            <w:tcW w:w="1451" w:type="pct"/>
            <w:tcBorders>
              <w:top w:val="single" w:color="000000" w:sz="4" w:space="0"/>
              <w:left w:val="single" w:color="000000" w:sz="4" w:space="0"/>
              <w:bottom w:val="single" w:color="auto" w:sz="4" w:space="0"/>
              <w:right w:val="single" w:color="000000" w:sz="4" w:space="0"/>
            </w:tcBorders>
            <w:shd w:val="clear" w:color="auto" w:fill="auto"/>
            <w:vAlign w:val="center"/>
          </w:tcPr>
          <w:p w14:paraId="37DCA4E1">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评价要点：考察①节能中心对推动企业节能技术改造、降低企业生产成本的促进作用；②节能中心对用能单位、公民节能意识的加强作用。</w:t>
            </w:r>
          </w:p>
          <w:p w14:paraId="071394D3">
            <w:pPr>
              <w:widowControl/>
              <w:jc w:val="left"/>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评分规则：以上评价要点各占1/2分值，工作完成得权重分，否则不得分。</w:t>
            </w:r>
          </w:p>
        </w:tc>
        <w:tc>
          <w:tcPr>
            <w:tcW w:w="416" w:type="pct"/>
            <w:tcBorders>
              <w:top w:val="single" w:color="000000" w:sz="4" w:space="0"/>
              <w:left w:val="single" w:color="000000" w:sz="4" w:space="0"/>
              <w:bottom w:val="single" w:color="auto" w:sz="4" w:space="0"/>
              <w:right w:val="single" w:color="000000" w:sz="4" w:space="0"/>
            </w:tcBorders>
            <w:shd w:val="clear" w:color="auto" w:fill="auto"/>
            <w:vAlign w:val="center"/>
          </w:tcPr>
          <w:p w14:paraId="4773E1DA">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auto" w:sz="4" w:space="0"/>
              <w:right w:val="single" w:color="auto" w:sz="4" w:space="0"/>
            </w:tcBorders>
            <w:shd w:val="clear" w:color="auto" w:fill="auto"/>
            <w:vAlign w:val="center"/>
          </w:tcPr>
          <w:p w14:paraId="2BC7AFFF">
            <w:pPr>
              <w:widowControl/>
              <w:jc w:val="center"/>
              <w:textAlignment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kern w:val="0"/>
                <w:sz w:val="15"/>
                <w:szCs w:val="15"/>
                <w:lang w:val="en-US" w:eastAsia="zh-CN" w:bidi="ar"/>
              </w:rPr>
              <w:t>4</w:t>
            </w:r>
            <w:r>
              <w:rPr>
                <w:rFonts w:hint="eastAsia" w:asciiTheme="minorEastAsia" w:hAnsiTheme="minorEastAsia" w:eastAsiaTheme="minorEastAsia" w:cstheme="minorEastAsia"/>
                <w:kern w:val="0"/>
                <w:sz w:val="15"/>
                <w:szCs w:val="15"/>
                <w:lang w:bidi="ar"/>
              </w:rPr>
              <w:t xml:space="preserve">.00 </w:t>
            </w:r>
          </w:p>
        </w:tc>
        <w:tc>
          <w:tcPr>
            <w:tcW w:w="464" w:type="pct"/>
            <w:tcBorders>
              <w:top w:val="single" w:color="000000" w:sz="4" w:space="0"/>
              <w:left w:val="single" w:color="auto" w:sz="4" w:space="0"/>
              <w:bottom w:val="single" w:color="000000" w:sz="4" w:space="0"/>
              <w:right w:val="single" w:color="000000" w:sz="4" w:space="0"/>
            </w:tcBorders>
            <w:vAlign w:val="center"/>
          </w:tcPr>
          <w:p w14:paraId="593C1552">
            <w:pPr>
              <w:widowControl/>
              <w:jc w:val="center"/>
              <w:textAlignment w:val="center"/>
              <w:rPr>
                <w:rFonts w:hint="eastAsia" w:asciiTheme="minorEastAsia" w:hAnsiTheme="minorEastAsia" w:eastAsiaTheme="minorEastAsia" w:cstheme="minorEastAsia"/>
                <w:kern w:val="0"/>
                <w:sz w:val="15"/>
                <w:szCs w:val="15"/>
                <w:lang w:bidi="ar"/>
              </w:rPr>
            </w:pPr>
          </w:p>
        </w:tc>
      </w:tr>
      <w:tr w14:paraId="771EE7CE">
        <w:tblPrEx>
          <w:tblCellMar>
            <w:top w:w="0" w:type="dxa"/>
            <w:left w:w="108" w:type="dxa"/>
            <w:bottom w:w="0" w:type="dxa"/>
            <w:right w:w="108" w:type="dxa"/>
          </w:tblCellMar>
        </w:tblPrEx>
        <w:trPr>
          <w:trHeight w:val="980" w:hRule="atLeast"/>
        </w:trPr>
        <w:tc>
          <w:tcPr>
            <w:tcW w:w="316" w:type="pct"/>
            <w:vMerge w:val="continue"/>
            <w:tcBorders>
              <w:top w:val="single" w:color="auto" w:sz="4" w:space="0"/>
              <w:left w:val="single" w:color="auto" w:sz="4" w:space="0"/>
              <w:right w:val="single" w:color="000000" w:sz="4" w:space="0"/>
            </w:tcBorders>
            <w:vAlign w:val="center"/>
          </w:tcPr>
          <w:p w14:paraId="7AD30177">
            <w:pPr>
              <w:jc w:val="center"/>
              <w:rPr>
                <w:rFonts w:hint="eastAsia" w:asciiTheme="minorEastAsia" w:hAnsiTheme="minorEastAsia" w:eastAsiaTheme="minorEastAsia" w:cstheme="minorEastAsia"/>
                <w:sz w:val="15"/>
                <w:szCs w:val="15"/>
              </w:rPr>
            </w:pPr>
          </w:p>
        </w:tc>
        <w:tc>
          <w:tcPr>
            <w:tcW w:w="353" w:type="pct"/>
            <w:tcBorders>
              <w:top w:val="single" w:color="auto" w:sz="4" w:space="0"/>
              <w:left w:val="single" w:color="000000" w:sz="4" w:space="0"/>
              <w:bottom w:val="single" w:color="000000" w:sz="4" w:space="0"/>
              <w:right w:val="single" w:color="000000" w:sz="4" w:space="0"/>
            </w:tcBorders>
            <w:vAlign w:val="center"/>
          </w:tcPr>
          <w:p w14:paraId="5F2F10E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生态效益（4）</w:t>
            </w:r>
          </w:p>
        </w:tc>
        <w:tc>
          <w:tcPr>
            <w:tcW w:w="866" w:type="pct"/>
            <w:tcBorders>
              <w:top w:val="single" w:color="auto" w:sz="4" w:space="0"/>
              <w:left w:val="nil"/>
              <w:bottom w:val="single" w:color="000000" w:sz="4" w:space="0"/>
              <w:right w:val="single" w:color="000000" w:sz="4" w:space="0"/>
            </w:tcBorders>
            <w:vAlign w:val="center"/>
          </w:tcPr>
          <w:p w14:paraId="2BA7F6FC">
            <w:pPr>
              <w:widowControl/>
              <w:jc w:val="left"/>
              <w:textAlignment w:val="center"/>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kern w:val="0"/>
                <w:sz w:val="15"/>
                <w:szCs w:val="15"/>
                <w:lang w:bidi="ar"/>
              </w:rPr>
              <w:t>协助企业创建绿色园区、绿色工厂、绿色供应链</w:t>
            </w:r>
            <w:r>
              <w:rPr>
                <w:rFonts w:hint="eastAsia" w:asciiTheme="minorEastAsia" w:hAnsiTheme="minorEastAsia" w:eastAsiaTheme="minorEastAsia" w:cstheme="minorEastAsia"/>
                <w:kern w:val="0"/>
                <w:sz w:val="15"/>
                <w:szCs w:val="15"/>
                <w:lang w:eastAsia="zh-CN" w:bidi="ar"/>
              </w:rPr>
              <w:t>、零碳工厂</w:t>
            </w:r>
          </w:p>
        </w:tc>
        <w:tc>
          <w:tcPr>
            <w:tcW w:w="464" w:type="pct"/>
            <w:tcBorders>
              <w:top w:val="single" w:color="auto" w:sz="4" w:space="0"/>
              <w:left w:val="single" w:color="000000" w:sz="4" w:space="0"/>
              <w:bottom w:val="single" w:color="000000" w:sz="4" w:space="0"/>
              <w:right w:val="single" w:color="000000" w:sz="4" w:space="0"/>
            </w:tcBorders>
            <w:vAlign w:val="center"/>
          </w:tcPr>
          <w:p w14:paraId="65BAFA8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auto" w:sz="4" w:space="0"/>
              <w:left w:val="single" w:color="000000" w:sz="4" w:space="0"/>
              <w:bottom w:val="single" w:color="000000" w:sz="4" w:space="0"/>
              <w:right w:val="single" w:color="000000" w:sz="4" w:space="0"/>
            </w:tcBorders>
            <w:vAlign w:val="center"/>
          </w:tcPr>
          <w:p w14:paraId="512B380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4.00 </w:t>
            </w:r>
          </w:p>
        </w:tc>
        <w:tc>
          <w:tcPr>
            <w:tcW w:w="1451" w:type="pct"/>
            <w:tcBorders>
              <w:top w:val="single" w:color="auto" w:sz="4" w:space="0"/>
              <w:left w:val="single" w:color="000000" w:sz="4" w:space="0"/>
              <w:bottom w:val="single" w:color="000000" w:sz="4" w:space="0"/>
              <w:right w:val="single" w:color="000000" w:sz="4" w:space="0"/>
            </w:tcBorders>
            <w:vAlign w:val="center"/>
          </w:tcPr>
          <w:p w14:paraId="021277D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评价要点：考察节能中心为园区（企业）创建绿色园区、绿色工厂的协助情况。</w:t>
            </w:r>
          </w:p>
          <w:p w14:paraId="198B0A4E">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auto" w:sz="4" w:space="0"/>
              <w:left w:val="single" w:color="000000" w:sz="4" w:space="0"/>
              <w:bottom w:val="single" w:color="000000" w:sz="4" w:space="0"/>
              <w:right w:val="single" w:color="000000" w:sz="4" w:space="0"/>
            </w:tcBorders>
            <w:vAlign w:val="center"/>
          </w:tcPr>
          <w:p w14:paraId="06171E7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auto" w:sz="4" w:space="0"/>
              <w:left w:val="single" w:color="000000" w:sz="4" w:space="0"/>
              <w:bottom w:val="single" w:color="000000" w:sz="4" w:space="0"/>
              <w:right w:val="single" w:color="000000" w:sz="4" w:space="0"/>
            </w:tcBorders>
            <w:vAlign w:val="center"/>
          </w:tcPr>
          <w:p w14:paraId="3FF89AB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4.00 </w:t>
            </w:r>
          </w:p>
        </w:tc>
        <w:tc>
          <w:tcPr>
            <w:tcW w:w="464" w:type="pct"/>
            <w:tcBorders>
              <w:top w:val="single" w:color="000000" w:sz="4" w:space="0"/>
              <w:left w:val="single" w:color="000000" w:sz="4" w:space="0"/>
              <w:bottom w:val="single" w:color="000000" w:sz="4" w:space="0"/>
              <w:right w:val="single" w:color="000000" w:sz="4" w:space="0"/>
            </w:tcBorders>
            <w:vAlign w:val="center"/>
          </w:tcPr>
          <w:p w14:paraId="3F533B83">
            <w:pPr>
              <w:widowControl/>
              <w:jc w:val="center"/>
              <w:textAlignment w:val="center"/>
              <w:rPr>
                <w:rFonts w:hint="eastAsia" w:asciiTheme="minorEastAsia" w:hAnsiTheme="minorEastAsia" w:eastAsiaTheme="minorEastAsia" w:cstheme="minorEastAsia"/>
                <w:kern w:val="0"/>
                <w:sz w:val="15"/>
                <w:szCs w:val="15"/>
                <w:lang w:bidi="ar"/>
              </w:rPr>
            </w:pPr>
          </w:p>
        </w:tc>
      </w:tr>
      <w:tr w14:paraId="6B8F4375">
        <w:tblPrEx>
          <w:tblCellMar>
            <w:top w:w="0" w:type="dxa"/>
            <w:left w:w="108" w:type="dxa"/>
            <w:bottom w:w="0" w:type="dxa"/>
            <w:right w:w="108" w:type="dxa"/>
          </w:tblCellMar>
        </w:tblPrEx>
        <w:trPr>
          <w:trHeight w:val="740" w:hRule="atLeast"/>
        </w:trPr>
        <w:tc>
          <w:tcPr>
            <w:tcW w:w="316" w:type="pct"/>
            <w:vMerge w:val="continue"/>
            <w:tcBorders>
              <w:left w:val="single" w:color="auto" w:sz="4" w:space="0"/>
              <w:bottom w:val="single" w:color="000000" w:sz="4" w:space="0"/>
              <w:right w:val="single" w:color="000000" w:sz="4" w:space="0"/>
            </w:tcBorders>
            <w:vAlign w:val="center"/>
          </w:tcPr>
          <w:p w14:paraId="77AFB428">
            <w:pPr>
              <w:widowControl/>
              <w:jc w:val="center"/>
              <w:textAlignment w:val="center"/>
              <w:rPr>
                <w:rFonts w:hint="eastAsia" w:asciiTheme="minorEastAsia" w:hAnsiTheme="minorEastAsia" w:eastAsiaTheme="minorEastAsia" w:cstheme="minorEastAsia"/>
                <w:sz w:val="15"/>
                <w:szCs w:val="15"/>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A9F592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可持续影响（4）</w:t>
            </w:r>
          </w:p>
        </w:tc>
        <w:tc>
          <w:tcPr>
            <w:tcW w:w="866" w:type="pct"/>
            <w:tcBorders>
              <w:top w:val="single" w:color="000000" w:sz="4" w:space="0"/>
              <w:left w:val="single" w:color="000000" w:sz="4" w:space="0"/>
              <w:bottom w:val="single" w:color="000000" w:sz="4" w:space="0"/>
              <w:right w:val="single" w:color="000000" w:sz="4" w:space="0"/>
            </w:tcBorders>
            <w:vAlign w:val="center"/>
          </w:tcPr>
          <w:p w14:paraId="3E2BA899">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业务能力提升</w:t>
            </w:r>
          </w:p>
        </w:tc>
        <w:tc>
          <w:tcPr>
            <w:tcW w:w="464" w:type="pct"/>
            <w:tcBorders>
              <w:top w:val="single" w:color="000000" w:sz="4" w:space="0"/>
              <w:left w:val="single" w:color="000000" w:sz="4" w:space="0"/>
              <w:bottom w:val="single" w:color="000000" w:sz="4" w:space="0"/>
              <w:right w:val="single" w:color="000000" w:sz="4" w:space="0"/>
            </w:tcBorders>
            <w:vAlign w:val="center"/>
          </w:tcPr>
          <w:p w14:paraId="2BEFCC5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提升</w:t>
            </w:r>
          </w:p>
        </w:tc>
        <w:tc>
          <w:tcPr>
            <w:tcW w:w="352" w:type="pct"/>
            <w:tcBorders>
              <w:top w:val="single" w:color="000000" w:sz="4" w:space="0"/>
              <w:left w:val="single" w:color="000000" w:sz="4" w:space="0"/>
              <w:bottom w:val="single" w:color="000000" w:sz="4" w:space="0"/>
              <w:right w:val="single" w:color="000000" w:sz="4" w:space="0"/>
            </w:tcBorders>
            <w:vAlign w:val="center"/>
          </w:tcPr>
          <w:p w14:paraId="297F5936">
            <w:pPr>
              <w:widowControl/>
              <w:jc w:val="center"/>
              <w:textAlignment w:val="center"/>
              <w:rPr>
                <w:rFonts w:hint="eastAsia" w:asciiTheme="minorEastAsia" w:hAnsiTheme="minorEastAsia" w:eastAsiaTheme="minorEastAsia" w:cstheme="minorEastAsia"/>
                <w:sz w:val="15"/>
                <w:szCs w:val="15"/>
              </w:rPr>
            </w:pPr>
            <w:r>
              <w:rPr>
                <w:rFonts w:hint="eastAsia" w:ascii="宋体" w:hAnsi="宋体" w:cs="宋体"/>
                <w:color w:val="000000"/>
                <w:kern w:val="0"/>
                <w:sz w:val="16"/>
                <w:szCs w:val="16"/>
                <w:lang w:bidi="ar"/>
              </w:rPr>
              <w:t>4.00</w:t>
            </w:r>
            <w:r>
              <w:rPr>
                <w:rFonts w:hint="eastAsia" w:asciiTheme="minorEastAsia" w:hAnsiTheme="minorEastAsia" w:eastAsiaTheme="minorEastAsia" w:cstheme="minorEastAsia"/>
                <w:kern w:val="0"/>
                <w:sz w:val="15"/>
                <w:szCs w:val="15"/>
                <w:lang w:bidi="ar"/>
              </w:rPr>
              <w:t xml:space="preserve"> </w:t>
            </w:r>
          </w:p>
        </w:tc>
        <w:tc>
          <w:tcPr>
            <w:tcW w:w="1451" w:type="pct"/>
            <w:tcBorders>
              <w:top w:val="single" w:color="000000" w:sz="4" w:space="0"/>
              <w:left w:val="single" w:color="000000" w:sz="4" w:space="0"/>
              <w:bottom w:val="single" w:color="000000" w:sz="4" w:space="0"/>
              <w:right w:val="single" w:color="000000" w:sz="4" w:space="0"/>
            </w:tcBorders>
            <w:vAlign w:val="center"/>
          </w:tcPr>
          <w:p w14:paraId="158E2F28">
            <w:pPr>
              <w:widowControl/>
              <w:jc w:val="left"/>
              <w:textAlignment w:val="center"/>
              <w:rPr>
                <w:rFonts w:hint="default" w:eastAsia="宋体" w:asciiTheme="minorEastAsia" w:hAnsiTheme="minorEastAsia" w:cstheme="minorEastAsia"/>
                <w:sz w:val="15"/>
                <w:szCs w:val="15"/>
                <w:highlight w:val="none"/>
                <w:lang w:val="en-US" w:eastAsia="zh-CN"/>
              </w:rPr>
            </w:pPr>
            <w:r>
              <w:rPr>
                <w:rFonts w:hint="eastAsia" w:asciiTheme="minorEastAsia" w:hAnsiTheme="minorEastAsia" w:eastAsiaTheme="minorEastAsia" w:cstheme="minorEastAsia"/>
                <w:kern w:val="0"/>
                <w:sz w:val="15"/>
                <w:szCs w:val="15"/>
                <w:lang w:bidi="ar"/>
              </w:rPr>
              <w:t>考察部门是否着眼未来，制定了并开展了人才培养计划、人才选拔相关激励措施等。</w:t>
            </w:r>
            <w:r>
              <w:rPr>
                <w:rFonts w:hint="eastAsia" w:asciiTheme="minorEastAsia" w:hAnsiTheme="minorEastAsia" w:eastAsiaTheme="minorEastAsia" w:cstheme="minorEastAsia"/>
                <w:kern w:val="0"/>
                <w:sz w:val="15"/>
                <w:szCs w:val="15"/>
                <w:lang w:bidi="ar"/>
              </w:rPr>
              <w:br w:type="textWrapping"/>
            </w:r>
            <w:r>
              <w:rPr>
                <w:rFonts w:hint="eastAsia" w:asciiTheme="minorEastAsia" w:hAnsiTheme="minorEastAsia" w:eastAsiaTheme="minorEastAsia" w:cstheme="minorEastAsia"/>
                <w:kern w:val="0"/>
                <w:sz w:val="15"/>
                <w:szCs w:val="15"/>
                <w:lang w:bidi="ar"/>
              </w:rPr>
              <w:t>评分规则：根据完成情况分为</w:t>
            </w:r>
            <w:r>
              <w:rPr>
                <w:rFonts w:hint="eastAsia" w:asciiTheme="minorEastAsia" w:hAnsiTheme="minorEastAsia" w:eastAsiaTheme="minorEastAsia" w:cstheme="minorEastAsia"/>
                <w:kern w:val="0"/>
                <w:sz w:val="15"/>
                <w:szCs w:val="15"/>
                <w:lang w:val="en-US" w:eastAsia="zh-CN" w:bidi="ar"/>
              </w:rPr>
              <w:t>提升</w:t>
            </w:r>
            <w:r>
              <w:rPr>
                <w:rFonts w:hint="eastAsia" w:asciiTheme="minorEastAsia" w:hAnsiTheme="minorEastAsia" w:eastAsiaTheme="minorEastAsia" w:cstheme="minorEastAsia"/>
                <w:kern w:val="0"/>
                <w:sz w:val="15"/>
                <w:szCs w:val="15"/>
                <w:lang w:bidi="ar"/>
              </w:rPr>
              <w:t>、</w:t>
            </w:r>
            <w:r>
              <w:rPr>
                <w:rFonts w:hint="eastAsia" w:asciiTheme="minorEastAsia" w:hAnsiTheme="minorEastAsia" w:eastAsiaTheme="minorEastAsia" w:cstheme="minorEastAsia"/>
                <w:kern w:val="0"/>
                <w:sz w:val="15"/>
                <w:szCs w:val="15"/>
                <w:lang w:val="en-US" w:eastAsia="zh-CN" w:bidi="ar"/>
              </w:rPr>
              <w:t>基本提升、</w:t>
            </w:r>
            <w:r>
              <w:rPr>
                <w:rFonts w:hint="eastAsia" w:asciiTheme="minorEastAsia" w:hAnsiTheme="minorEastAsia" w:eastAsiaTheme="minorEastAsia" w:cstheme="minorEastAsia"/>
                <w:kern w:val="0"/>
                <w:sz w:val="15"/>
                <w:szCs w:val="15"/>
                <w:lang w:bidi="ar"/>
              </w:rPr>
              <w:t>部分</w:t>
            </w:r>
            <w:r>
              <w:rPr>
                <w:rFonts w:hint="eastAsia" w:asciiTheme="minorEastAsia" w:hAnsiTheme="minorEastAsia" w:eastAsiaTheme="minorEastAsia" w:cstheme="minorEastAsia"/>
                <w:kern w:val="0"/>
                <w:sz w:val="15"/>
                <w:szCs w:val="15"/>
                <w:lang w:val="en-US" w:eastAsia="zh-CN" w:bidi="ar"/>
              </w:rPr>
              <w:t>提升</w:t>
            </w:r>
            <w:r>
              <w:rPr>
                <w:rFonts w:hint="eastAsia" w:asciiTheme="minorEastAsia" w:hAnsiTheme="minorEastAsia" w:eastAsiaTheme="minorEastAsia" w:cstheme="minorEastAsia"/>
                <w:kern w:val="0"/>
                <w:sz w:val="15"/>
                <w:szCs w:val="15"/>
                <w:lang w:bidi="ar"/>
              </w:rPr>
              <w:t>、未</w:t>
            </w:r>
            <w:r>
              <w:rPr>
                <w:rFonts w:hint="eastAsia" w:asciiTheme="minorEastAsia" w:hAnsiTheme="minorEastAsia" w:eastAsiaTheme="minorEastAsia" w:cstheme="minorEastAsia"/>
                <w:kern w:val="0"/>
                <w:sz w:val="15"/>
                <w:szCs w:val="15"/>
                <w:lang w:val="en-US" w:eastAsia="zh-CN" w:bidi="ar"/>
              </w:rPr>
              <w:t>提升四</w:t>
            </w:r>
            <w:r>
              <w:rPr>
                <w:rFonts w:hint="eastAsia" w:asciiTheme="minorEastAsia" w:hAnsiTheme="minorEastAsia" w:eastAsiaTheme="minorEastAsia" w:cstheme="minorEastAsia"/>
                <w:kern w:val="0"/>
                <w:sz w:val="15"/>
                <w:szCs w:val="15"/>
                <w:lang w:bidi="ar"/>
              </w:rPr>
              <w:t>档</w:t>
            </w:r>
            <w:r>
              <w:rPr>
                <w:rFonts w:hint="eastAsia" w:asciiTheme="minorEastAsia" w:hAnsiTheme="minorEastAsia" w:eastAsiaTheme="minorEastAsia" w:cstheme="minorEastAsia"/>
                <w:kern w:val="0"/>
                <w:sz w:val="15"/>
                <w:szCs w:val="15"/>
                <w:lang w:eastAsia="zh-CN" w:bidi="ar"/>
              </w:rPr>
              <w:t>，</w:t>
            </w:r>
            <w:r>
              <w:rPr>
                <w:rFonts w:hint="eastAsia" w:asciiTheme="minorEastAsia" w:hAnsiTheme="minorEastAsia" w:eastAsiaTheme="minorEastAsia" w:cstheme="minorEastAsia"/>
                <w:kern w:val="0"/>
                <w:sz w:val="15"/>
                <w:szCs w:val="15"/>
                <w:lang w:val="en-US" w:eastAsia="zh-CN" w:bidi="ar"/>
              </w:rPr>
              <w:t>分别得4分、2分、1分、0分。</w:t>
            </w:r>
          </w:p>
        </w:tc>
        <w:tc>
          <w:tcPr>
            <w:tcW w:w="416" w:type="pct"/>
            <w:tcBorders>
              <w:top w:val="single" w:color="000000" w:sz="4" w:space="0"/>
              <w:left w:val="single" w:color="000000" w:sz="4" w:space="0"/>
              <w:bottom w:val="single" w:color="000000" w:sz="4" w:space="0"/>
              <w:right w:val="single" w:color="000000" w:sz="4" w:space="0"/>
            </w:tcBorders>
            <w:vAlign w:val="center"/>
          </w:tcPr>
          <w:p w14:paraId="0AB3D066">
            <w:pPr>
              <w:widowControl/>
              <w:jc w:val="center"/>
              <w:textAlignment w:val="center"/>
              <w:rPr>
                <w:rFonts w:hint="default"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部分提升</w:t>
            </w:r>
          </w:p>
        </w:tc>
        <w:tc>
          <w:tcPr>
            <w:tcW w:w="316" w:type="pct"/>
            <w:tcBorders>
              <w:top w:val="single" w:color="000000" w:sz="4" w:space="0"/>
              <w:left w:val="single" w:color="000000" w:sz="4" w:space="0"/>
              <w:bottom w:val="single" w:color="000000" w:sz="4" w:space="0"/>
              <w:right w:val="single" w:color="000000" w:sz="4" w:space="0"/>
            </w:tcBorders>
            <w:vAlign w:val="center"/>
          </w:tcPr>
          <w:p w14:paraId="2F4E9BBE">
            <w:pPr>
              <w:widowControl/>
              <w:jc w:val="center"/>
              <w:textAlignment w:val="center"/>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val="en-US" w:eastAsia="zh-CN" w:bidi="ar"/>
              </w:rPr>
              <w:t>1</w:t>
            </w:r>
            <w:r>
              <w:rPr>
                <w:rFonts w:hint="eastAsia" w:asciiTheme="minorEastAsia" w:hAnsiTheme="minorEastAsia" w:eastAsiaTheme="minorEastAsia" w:cstheme="minorEastAsia"/>
                <w:color w:val="auto"/>
                <w:kern w:val="0"/>
                <w:sz w:val="15"/>
                <w:szCs w:val="15"/>
                <w:lang w:bidi="ar"/>
              </w:rPr>
              <w:t>.00</w:t>
            </w:r>
          </w:p>
        </w:tc>
        <w:tc>
          <w:tcPr>
            <w:tcW w:w="464" w:type="pct"/>
            <w:tcBorders>
              <w:top w:val="single" w:color="000000" w:sz="4" w:space="0"/>
              <w:left w:val="single" w:color="000000" w:sz="4" w:space="0"/>
              <w:bottom w:val="single" w:color="000000" w:sz="4" w:space="0"/>
              <w:right w:val="single" w:color="000000" w:sz="4" w:space="0"/>
            </w:tcBorders>
            <w:vAlign w:val="center"/>
          </w:tcPr>
          <w:p w14:paraId="75B994D2">
            <w:pPr>
              <w:keepNext w:val="0"/>
              <w:keepLines w:val="0"/>
              <w:widowControl/>
              <w:suppressLineNumbers w:val="0"/>
              <w:jc w:val="both"/>
              <w:textAlignment w:val="center"/>
              <w:rPr>
                <w:rFonts w:hint="eastAsia" w:asciiTheme="minorEastAsia" w:hAnsiTheme="minorEastAsia" w:eastAsiaTheme="minorEastAsia" w:cstheme="minorEastAsia"/>
                <w:kern w:val="0"/>
                <w:sz w:val="15"/>
                <w:szCs w:val="15"/>
                <w:lang w:bidi="ar"/>
              </w:rPr>
            </w:pPr>
            <w:r>
              <w:rPr>
                <w:rFonts w:hint="eastAsia" w:ascii="宋体" w:hAnsi="宋体" w:eastAsia="宋体" w:cs="宋体"/>
                <w:i w:val="0"/>
                <w:iCs w:val="0"/>
                <w:color w:val="000000"/>
                <w:kern w:val="0"/>
                <w:sz w:val="15"/>
                <w:szCs w:val="15"/>
                <w:u w:val="none"/>
                <w:lang w:val="en-US" w:eastAsia="zh-CN" w:bidi="ar"/>
              </w:rPr>
              <w:t>部分提升，未制定人才选拔相关激励措施</w:t>
            </w:r>
          </w:p>
        </w:tc>
      </w:tr>
      <w:tr w14:paraId="0EB29CD0">
        <w:tblPrEx>
          <w:tblCellMar>
            <w:top w:w="0" w:type="dxa"/>
            <w:left w:w="108" w:type="dxa"/>
            <w:bottom w:w="0" w:type="dxa"/>
            <w:right w:w="108" w:type="dxa"/>
          </w:tblCellMar>
        </w:tblPrEx>
        <w:trPr>
          <w:trHeight w:val="600" w:hRule="atLeast"/>
        </w:trPr>
        <w:tc>
          <w:tcPr>
            <w:tcW w:w="316" w:type="pct"/>
            <w:tcBorders>
              <w:top w:val="single" w:color="000000" w:sz="4" w:space="0"/>
              <w:left w:val="single" w:color="000000" w:sz="4" w:space="0"/>
              <w:bottom w:val="single" w:color="000000" w:sz="4" w:space="0"/>
              <w:right w:val="single" w:color="000000" w:sz="4" w:space="0"/>
            </w:tcBorders>
            <w:vAlign w:val="center"/>
          </w:tcPr>
          <w:p w14:paraId="721BD36A">
            <w:pPr>
              <w:widowControl/>
              <w:jc w:val="center"/>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kern w:val="0"/>
                <w:sz w:val="15"/>
                <w:szCs w:val="15"/>
                <w:lang w:bidi="ar"/>
              </w:rPr>
              <w:t>满意度（10）</w:t>
            </w:r>
          </w:p>
        </w:tc>
        <w:tc>
          <w:tcPr>
            <w:tcW w:w="353" w:type="pct"/>
            <w:tcBorders>
              <w:top w:val="single" w:color="000000" w:sz="4" w:space="0"/>
              <w:left w:val="single" w:color="000000" w:sz="4" w:space="0"/>
              <w:bottom w:val="single" w:color="000000" w:sz="4" w:space="0"/>
              <w:right w:val="single" w:color="000000" w:sz="4" w:space="0"/>
            </w:tcBorders>
            <w:vAlign w:val="center"/>
          </w:tcPr>
          <w:p w14:paraId="308A89B6">
            <w:pPr>
              <w:widowControl/>
              <w:jc w:val="center"/>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kern w:val="0"/>
                <w:sz w:val="15"/>
                <w:szCs w:val="15"/>
                <w:lang w:bidi="ar"/>
              </w:rPr>
              <w:t>服务对象满意度（10）</w:t>
            </w:r>
          </w:p>
        </w:tc>
        <w:tc>
          <w:tcPr>
            <w:tcW w:w="866" w:type="pct"/>
            <w:tcBorders>
              <w:top w:val="single" w:color="000000" w:sz="4" w:space="0"/>
              <w:left w:val="single" w:color="000000" w:sz="4" w:space="0"/>
              <w:bottom w:val="single" w:color="000000" w:sz="4" w:space="0"/>
              <w:right w:val="single" w:color="000000" w:sz="4" w:space="0"/>
            </w:tcBorders>
            <w:vAlign w:val="center"/>
          </w:tcPr>
          <w:p w14:paraId="4DD1DCDD">
            <w:pPr>
              <w:widowControl/>
              <w:jc w:val="left"/>
              <w:textAlignment w:val="center"/>
              <w:rPr>
                <w:rFonts w:hint="default" w:asciiTheme="minorEastAsia" w:hAnsiTheme="minorEastAsia" w:eastAsiaTheme="minorEastAsia" w:cstheme="minorEastAsia"/>
                <w:b/>
                <w:bCs/>
                <w:kern w:val="0"/>
                <w:sz w:val="15"/>
                <w:szCs w:val="15"/>
                <w:lang w:val="en-US" w:eastAsia="zh-CN" w:bidi="ar"/>
              </w:rPr>
            </w:pPr>
            <w:r>
              <w:rPr>
                <w:rFonts w:hint="eastAsia" w:asciiTheme="minorEastAsia" w:hAnsiTheme="minorEastAsia" w:eastAsiaTheme="minorEastAsia" w:cstheme="minorEastAsia"/>
                <w:kern w:val="0"/>
                <w:sz w:val="15"/>
                <w:szCs w:val="15"/>
                <w:lang w:bidi="ar"/>
              </w:rPr>
              <w:t>服务对象满</w:t>
            </w:r>
            <w:r>
              <w:rPr>
                <w:rFonts w:hint="eastAsia" w:asciiTheme="minorEastAsia" w:hAnsiTheme="minorEastAsia" w:eastAsiaTheme="minorEastAsia" w:cstheme="minorEastAsia"/>
                <w:kern w:val="0"/>
                <w:sz w:val="15"/>
                <w:szCs w:val="15"/>
                <w:lang w:eastAsia="zh-CN" w:bidi="ar"/>
              </w:rPr>
              <w:t>意率</w:t>
            </w:r>
            <w:r>
              <w:rPr>
                <w:rFonts w:hint="eastAsia" w:asciiTheme="minorEastAsia" w:hAnsiTheme="minorEastAsia" w:eastAsiaTheme="minorEastAsia" w:cstheme="minorEastAsia"/>
                <w:kern w:val="0"/>
                <w:sz w:val="15"/>
                <w:szCs w:val="15"/>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vAlign w:val="center"/>
          </w:tcPr>
          <w:p w14:paraId="0712EAA6">
            <w:pPr>
              <w:widowControl/>
              <w:jc w:val="center"/>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kern w:val="0"/>
                <w:sz w:val="15"/>
                <w:szCs w:val="15"/>
                <w:lang w:bidi="ar"/>
              </w:rPr>
              <w:t>95%</w:t>
            </w:r>
          </w:p>
        </w:tc>
        <w:tc>
          <w:tcPr>
            <w:tcW w:w="352" w:type="pct"/>
            <w:tcBorders>
              <w:top w:val="single" w:color="000000" w:sz="4" w:space="0"/>
              <w:left w:val="single" w:color="000000" w:sz="4" w:space="0"/>
              <w:bottom w:val="single" w:color="000000" w:sz="4" w:space="0"/>
              <w:right w:val="single" w:color="000000" w:sz="4" w:space="0"/>
            </w:tcBorders>
            <w:vAlign w:val="center"/>
          </w:tcPr>
          <w:p w14:paraId="7BC0860B">
            <w:pPr>
              <w:widowControl/>
              <w:jc w:val="center"/>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 xml:space="preserve">10.00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23E3467D">
            <w:pP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按照满意度调查问卷计算分值，超过95%得满分。低于95%每低于1%扣1分，扣完为止。</w:t>
            </w:r>
          </w:p>
        </w:tc>
        <w:tc>
          <w:tcPr>
            <w:tcW w:w="416" w:type="pct"/>
            <w:tcBorders>
              <w:top w:val="single" w:color="000000" w:sz="4" w:space="0"/>
              <w:left w:val="single" w:color="000000" w:sz="4" w:space="0"/>
              <w:bottom w:val="single" w:color="000000" w:sz="4" w:space="0"/>
              <w:right w:val="single" w:color="000000" w:sz="4" w:space="0"/>
            </w:tcBorders>
            <w:vAlign w:val="center"/>
          </w:tcPr>
          <w:p w14:paraId="6113F1DD">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9</w:t>
            </w:r>
            <w:r>
              <w:rPr>
                <w:rFonts w:hint="eastAsia" w:asciiTheme="minorEastAsia" w:hAnsiTheme="minorEastAsia" w:eastAsiaTheme="minorEastAsia" w:cstheme="minorEastAsia"/>
                <w:sz w:val="15"/>
                <w:szCs w:val="15"/>
                <w:lang w:val="en-US" w:eastAsia="zh-CN"/>
              </w:rPr>
              <w:t>4</w:t>
            </w:r>
            <w:r>
              <w:rPr>
                <w:rFonts w:hint="eastAsia" w:asciiTheme="minorEastAsia" w:hAnsiTheme="minorEastAsia" w:eastAsiaTheme="minorEastAsia" w:cstheme="minorEastAsia"/>
                <w:sz w:val="15"/>
                <w:szCs w:val="15"/>
              </w:rPr>
              <w:t>.</w:t>
            </w:r>
            <w:r>
              <w:rPr>
                <w:rFonts w:hint="eastAsia" w:asciiTheme="minorEastAsia" w:hAnsiTheme="minorEastAsia" w:eastAsiaTheme="minorEastAsia" w:cstheme="minorEastAsia"/>
                <w:sz w:val="15"/>
                <w:szCs w:val="15"/>
                <w:lang w:val="en-US" w:eastAsia="zh-CN"/>
              </w:rPr>
              <w:t>2</w:t>
            </w:r>
            <w:r>
              <w:rPr>
                <w:rFonts w:hint="eastAsia" w:asciiTheme="minorEastAsia" w:hAnsiTheme="minorEastAsia" w:eastAsiaTheme="minorEastAsia" w:cstheme="minorEastAsia"/>
                <w:sz w:val="15"/>
                <w:szCs w:val="15"/>
              </w:rPr>
              <w:t>0%</w:t>
            </w:r>
          </w:p>
        </w:tc>
        <w:tc>
          <w:tcPr>
            <w:tcW w:w="316" w:type="pct"/>
            <w:tcBorders>
              <w:top w:val="single" w:color="000000" w:sz="4" w:space="0"/>
              <w:left w:val="single" w:color="000000" w:sz="4" w:space="0"/>
              <w:bottom w:val="single" w:color="000000" w:sz="4" w:space="0"/>
              <w:right w:val="single" w:color="000000" w:sz="4" w:space="0"/>
            </w:tcBorders>
            <w:vAlign w:val="center"/>
          </w:tcPr>
          <w:p w14:paraId="55329DED">
            <w:pPr>
              <w:widowControl/>
              <w:jc w:val="center"/>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val="en-US" w:eastAsia="zh-CN" w:bidi="ar"/>
              </w:rPr>
              <w:t>9</w:t>
            </w:r>
            <w:r>
              <w:rPr>
                <w:rFonts w:hint="eastAsia" w:asciiTheme="minorEastAsia" w:hAnsiTheme="minorEastAsia" w:eastAsiaTheme="minorEastAsia" w:cstheme="minorEastAsia"/>
                <w:kern w:val="0"/>
                <w:sz w:val="15"/>
                <w:szCs w:val="15"/>
                <w:lang w:bidi="ar"/>
              </w:rPr>
              <w:t>.</w:t>
            </w:r>
            <w:r>
              <w:rPr>
                <w:rFonts w:hint="eastAsia" w:asciiTheme="minorEastAsia" w:hAnsiTheme="minorEastAsia" w:eastAsiaTheme="minorEastAsia" w:cstheme="minorEastAsia"/>
                <w:kern w:val="0"/>
                <w:sz w:val="15"/>
                <w:szCs w:val="15"/>
                <w:lang w:val="en-US" w:eastAsia="zh-CN" w:bidi="ar"/>
              </w:rPr>
              <w:t>2</w:t>
            </w:r>
            <w:r>
              <w:rPr>
                <w:rFonts w:hint="eastAsia" w:asciiTheme="minorEastAsia" w:hAnsiTheme="minorEastAsia" w:eastAsiaTheme="minorEastAsia" w:cstheme="minorEastAsia"/>
                <w:kern w:val="0"/>
                <w:sz w:val="15"/>
                <w:szCs w:val="15"/>
                <w:lang w:bidi="ar"/>
              </w:rPr>
              <w:t>0</w:t>
            </w:r>
          </w:p>
        </w:tc>
        <w:tc>
          <w:tcPr>
            <w:tcW w:w="464" w:type="pct"/>
            <w:tcBorders>
              <w:top w:val="single" w:color="000000" w:sz="4" w:space="0"/>
              <w:left w:val="single" w:color="000000" w:sz="4" w:space="0"/>
              <w:bottom w:val="single" w:color="000000" w:sz="4" w:space="0"/>
              <w:right w:val="single" w:color="000000" w:sz="4" w:space="0"/>
            </w:tcBorders>
            <w:vAlign w:val="center"/>
          </w:tcPr>
          <w:p w14:paraId="11E1637E">
            <w:pPr>
              <w:widowControl/>
              <w:jc w:val="center"/>
              <w:textAlignment w:val="center"/>
              <w:rPr>
                <w:rFonts w:hint="eastAsia" w:asciiTheme="minorEastAsia" w:hAnsiTheme="minorEastAsia" w:eastAsiaTheme="minorEastAsia" w:cstheme="minorEastAsia"/>
                <w:kern w:val="0"/>
                <w:sz w:val="15"/>
                <w:szCs w:val="15"/>
                <w:lang w:bidi="ar"/>
              </w:rPr>
            </w:pPr>
            <w:r>
              <w:rPr>
                <w:rFonts w:hint="eastAsia" w:ascii="宋体" w:hAnsi="宋体" w:eastAsia="宋体" w:cs="宋体"/>
                <w:i w:val="0"/>
                <w:iCs w:val="0"/>
                <w:color w:val="000000"/>
                <w:kern w:val="0"/>
                <w:sz w:val="15"/>
                <w:szCs w:val="15"/>
                <w:u w:val="none"/>
                <w:lang w:val="en-US" w:eastAsia="zh-CN" w:bidi="ar"/>
              </w:rPr>
              <w:t>满意度调查问卷显示服务对象满意度为94.20%</w:t>
            </w:r>
          </w:p>
        </w:tc>
      </w:tr>
      <w:tr w14:paraId="61A76566">
        <w:tblPrEx>
          <w:tblCellMar>
            <w:top w:w="0" w:type="dxa"/>
            <w:left w:w="108" w:type="dxa"/>
            <w:bottom w:w="0" w:type="dxa"/>
            <w:right w:w="108" w:type="dxa"/>
          </w:tblCellMar>
        </w:tblPrEx>
        <w:trPr>
          <w:trHeight w:val="600" w:hRule="atLeast"/>
        </w:trPr>
        <w:tc>
          <w:tcPr>
            <w:tcW w:w="2000" w:type="pct"/>
            <w:gridSpan w:val="4"/>
            <w:tcBorders>
              <w:top w:val="single" w:color="000000" w:sz="4" w:space="0"/>
              <w:left w:val="single" w:color="000000" w:sz="4" w:space="0"/>
              <w:bottom w:val="single" w:color="000000" w:sz="4" w:space="0"/>
              <w:right w:val="single" w:color="000000" w:sz="4" w:space="0"/>
            </w:tcBorders>
            <w:vAlign w:val="center"/>
          </w:tcPr>
          <w:p w14:paraId="7536885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合计</w:t>
            </w:r>
          </w:p>
        </w:tc>
        <w:tc>
          <w:tcPr>
            <w:tcW w:w="352" w:type="pct"/>
            <w:tcBorders>
              <w:top w:val="single" w:color="000000" w:sz="4" w:space="0"/>
              <w:left w:val="single" w:color="000000" w:sz="4" w:space="0"/>
              <w:bottom w:val="single" w:color="000000" w:sz="4" w:space="0"/>
              <w:right w:val="single" w:color="000000" w:sz="4" w:space="0"/>
            </w:tcBorders>
            <w:vAlign w:val="center"/>
          </w:tcPr>
          <w:p w14:paraId="481954F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0EDD35D1">
            <w:pPr>
              <w:rPr>
                <w:rFonts w:hint="eastAsia" w:asciiTheme="minorEastAsia" w:hAnsiTheme="minorEastAsia" w:eastAsiaTheme="minorEastAsia" w:cstheme="minorEastAsia"/>
                <w:sz w:val="15"/>
                <w:szCs w:val="15"/>
              </w:rPr>
            </w:pPr>
          </w:p>
        </w:tc>
        <w:tc>
          <w:tcPr>
            <w:tcW w:w="416" w:type="pct"/>
            <w:tcBorders>
              <w:top w:val="single" w:color="000000" w:sz="4" w:space="0"/>
              <w:left w:val="single" w:color="000000" w:sz="4" w:space="0"/>
              <w:bottom w:val="single" w:color="000000" w:sz="4" w:space="0"/>
              <w:right w:val="single" w:color="000000" w:sz="4" w:space="0"/>
            </w:tcBorders>
            <w:vAlign w:val="center"/>
          </w:tcPr>
          <w:p w14:paraId="57663B3C">
            <w:pPr>
              <w:jc w:val="center"/>
              <w:rPr>
                <w:rFonts w:hint="eastAsia" w:asciiTheme="minorEastAsia" w:hAnsiTheme="minorEastAsia" w:eastAsiaTheme="minorEastAsia" w:cstheme="minorEastAsia"/>
                <w:sz w:val="15"/>
                <w:szCs w:val="15"/>
              </w:rPr>
            </w:pPr>
          </w:p>
        </w:tc>
        <w:tc>
          <w:tcPr>
            <w:tcW w:w="316" w:type="pct"/>
            <w:tcBorders>
              <w:top w:val="single" w:color="000000" w:sz="4" w:space="0"/>
              <w:left w:val="single" w:color="000000" w:sz="4" w:space="0"/>
              <w:bottom w:val="single" w:color="000000" w:sz="4" w:space="0"/>
              <w:right w:val="single" w:color="000000" w:sz="4" w:space="0"/>
            </w:tcBorders>
            <w:vAlign w:val="center"/>
          </w:tcPr>
          <w:p w14:paraId="07FB625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92.</w:t>
            </w:r>
            <w:r>
              <w:rPr>
                <w:rFonts w:hint="eastAsia" w:asciiTheme="minorEastAsia" w:hAnsiTheme="minorEastAsia" w:eastAsiaTheme="minorEastAsia" w:cstheme="minorEastAsia"/>
                <w:kern w:val="0"/>
                <w:sz w:val="15"/>
                <w:szCs w:val="15"/>
                <w:lang w:val="en-US" w:eastAsia="zh-CN" w:bidi="ar"/>
              </w:rPr>
              <w:t>8</w:t>
            </w:r>
            <w:r>
              <w:rPr>
                <w:rFonts w:hint="eastAsia" w:asciiTheme="minorEastAsia" w:hAnsiTheme="minorEastAsia" w:eastAsiaTheme="minorEastAsia" w:cstheme="minorEastAsia"/>
                <w:kern w:val="0"/>
                <w:sz w:val="15"/>
                <w:szCs w:val="15"/>
                <w:lang w:bidi="ar"/>
              </w:rPr>
              <w:t xml:space="preserve">5 </w:t>
            </w:r>
          </w:p>
        </w:tc>
        <w:tc>
          <w:tcPr>
            <w:tcW w:w="464" w:type="pct"/>
            <w:tcBorders>
              <w:top w:val="single" w:color="000000" w:sz="4" w:space="0"/>
              <w:left w:val="single" w:color="000000" w:sz="4" w:space="0"/>
              <w:bottom w:val="single" w:color="000000" w:sz="4" w:space="0"/>
              <w:right w:val="single" w:color="000000" w:sz="4" w:space="0"/>
            </w:tcBorders>
            <w:vAlign w:val="center"/>
          </w:tcPr>
          <w:p w14:paraId="51F93D09">
            <w:pPr>
              <w:widowControl/>
              <w:jc w:val="center"/>
              <w:textAlignment w:val="center"/>
              <w:rPr>
                <w:rFonts w:hint="eastAsia" w:asciiTheme="minorEastAsia" w:hAnsiTheme="minorEastAsia" w:eastAsiaTheme="minorEastAsia" w:cstheme="minorEastAsia"/>
                <w:kern w:val="0"/>
                <w:sz w:val="15"/>
                <w:szCs w:val="15"/>
                <w:lang w:bidi="ar"/>
              </w:rPr>
            </w:pPr>
          </w:p>
        </w:tc>
      </w:tr>
    </w:tbl>
    <w:p w14:paraId="6DE9DFCE">
      <w:pPr>
        <w:pStyle w:val="3"/>
        <w:spacing w:line="56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附件：《2024年度南京市节能技术服务中心部门整体绩效自评价表》</w:t>
      </w:r>
      <w:bookmarkStart w:id="46" w:name="_GoBack"/>
      <w:bookmarkEnd w:id="46"/>
    </w:p>
    <w:sectPr>
      <w:pgSz w:w="16838" w:h="11906" w:orient="landscape"/>
      <w:pgMar w:top="1803" w:right="1440" w:bottom="180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4CA64F2-8CB3-4437-8456-30A0F7C0A242}"/>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7269E49D-11B4-42B1-A341-BA924AB08FED}"/>
  </w:font>
  <w:font w:name="方正小标宋简体">
    <w:panose1 w:val="03000509000000000000"/>
    <w:charset w:val="86"/>
    <w:family w:val="script"/>
    <w:pitch w:val="default"/>
    <w:sig w:usb0="00000001" w:usb1="080E0000" w:usb2="00000000" w:usb3="00000000" w:csb0="00040000" w:csb1="00000000"/>
    <w:embedRegular r:id="rId3" w:fontKey="{8CE55451-EAC4-42B2-AB22-69D6798077AC}"/>
  </w:font>
  <w:font w:name="楷体_GB2312">
    <w:panose1 w:val="02010609030101010101"/>
    <w:charset w:val="86"/>
    <w:family w:val="modern"/>
    <w:pitch w:val="default"/>
    <w:sig w:usb0="00000001" w:usb1="080E0000" w:usb2="00000000" w:usb3="00000000" w:csb0="00040000" w:csb1="00000000"/>
    <w:embedRegular r:id="rId4" w:fontKey="{9CFF2AE4-5C3E-4586-ADFB-88FFF7E33242}"/>
  </w:font>
  <w:font w:name="仿宋_GB2312">
    <w:panose1 w:val="02010609030101010101"/>
    <w:charset w:val="86"/>
    <w:family w:val="modern"/>
    <w:pitch w:val="default"/>
    <w:sig w:usb0="00000001" w:usb1="080E0000" w:usb2="00000000" w:usb3="00000000" w:csb0="00040000" w:csb1="00000000"/>
    <w:embedRegular r:id="rId5" w:fontKey="{14798240-F2DD-4E5D-84ED-DF6671139E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57F2">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A9BE2">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D179">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143E4">
                          <w:pPr>
                            <w:pStyle w:val="8"/>
                            <w:jc w:val="center"/>
                          </w:pPr>
                          <w:r>
                            <w:fldChar w:fldCharType="begin"/>
                          </w:r>
                          <w:r>
                            <w:instrText xml:space="preserve">PAGE   \* MERGEFORMAT</w:instrText>
                          </w:r>
                          <w:r>
                            <w:fldChar w:fldCharType="separate"/>
                          </w:r>
                          <w:r>
                            <w:rPr>
                              <w:lang w:val="zh-CN"/>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09143E4">
                    <w:pPr>
                      <w:pStyle w:val="8"/>
                      <w:jc w:val="center"/>
                    </w:pPr>
                    <w:r>
                      <w:fldChar w:fldCharType="begin"/>
                    </w:r>
                    <w:r>
                      <w:instrText xml:space="preserve">PAGE   \* MERGEFORMAT</w:instrText>
                    </w:r>
                    <w:r>
                      <w:fldChar w:fldCharType="separate"/>
                    </w:r>
                    <w:r>
                      <w:rPr>
                        <w:lang w:val="zh-CN"/>
                      </w:rP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E1A2">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5MGQ3NDExMTAyZmFhMjY2OTZkODQ0ZmM2OGY4YWMifQ=="/>
  </w:docVars>
  <w:rsids>
    <w:rsidRoot w:val="00C10A25"/>
    <w:rsid w:val="00047C6B"/>
    <w:rsid w:val="000742FA"/>
    <w:rsid w:val="00132A85"/>
    <w:rsid w:val="00176BEF"/>
    <w:rsid w:val="00281765"/>
    <w:rsid w:val="002E5505"/>
    <w:rsid w:val="0032002F"/>
    <w:rsid w:val="003212FC"/>
    <w:rsid w:val="003507F1"/>
    <w:rsid w:val="00382B49"/>
    <w:rsid w:val="0045602A"/>
    <w:rsid w:val="00462B16"/>
    <w:rsid w:val="00550A78"/>
    <w:rsid w:val="005C4980"/>
    <w:rsid w:val="006032B2"/>
    <w:rsid w:val="00720C39"/>
    <w:rsid w:val="007910F7"/>
    <w:rsid w:val="00810D29"/>
    <w:rsid w:val="0086185E"/>
    <w:rsid w:val="008A7E46"/>
    <w:rsid w:val="008D5B2A"/>
    <w:rsid w:val="009251CC"/>
    <w:rsid w:val="00A034F2"/>
    <w:rsid w:val="00A04993"/>
    <w:rsid w:val="00A8449D"/>
    <w:rsid w:val="00A87475"/>
    <w:rsid w:val="00AF322A"/>
    <w:rsid w:val="00B23D28"/>
    <w:rsid w:val="00B81970"/>
    <w:rsid w:val="00B8315B"/>
    <w:rsid w:val="00BE65F2"/>
    <w:rsid w:val="00C10A25"/>
    <w:rsid w:val="00D57C01"/>
    <w:rsid w:val="00E153CB"/>
    <w:rsid w:val="00E35B99"/>
    <w:rsid w:val="00E55E5B"/>
    <w:rsid w:val="00F73F35"/>
    <w:rsid w:val="00FD3869"/>
    <w:rsid w:val="00FD580D"/>
    <w:rsid w:val="00FF716C"/>
    <w:rsid w:val="01E525D8"/>
    <w:rsid w:val="023C675D"/>
    <w:rsid w:val="026746FD"/>
    <w:rsid w:val="02EA0D2F"/>
    <w:rsid w:val="033328BA"/>
    <w:rsid w:val="03920A67"/>
    <w:rsid w:val="03E25FA2"/>
    <w:rsid w:val="051530C4"/>
    <w:rsid w:val="054A784B"/>
    <w:rsid w:val="05D07BB4"/>
    <w:rsid w:val="07025861"/>
    <w:rsid w:val="08121FDF"/>
    <w:rsid w:val="083E62D3"/>
    <w:rsid w:val="08C6478B"/>
    <w:rsid w:val="0A193000"/>
    <w:rsid w:val="0A3741C2"/>
    <w:rsid w:val="0B554854"/>
    <w:rsid w:val="0CDB522D"/>
    <w:rsid w:val="0DD35CEA"/>
    <w:rsid w:val="0DDF1A07"/>
    <w:rsid w:val="0ECA5559"/>
    <w:rsid w:val="0ED62150"/>
    <w:rsid w:val="0F931DEF"/>
    <w:rsid w:val="0FDB0540"/>
    <w:rsid w:val="10060813"/>
    <w:rsid w:val="105E4BC5"/>
    <w:rsid w:val="10B310F1"/>
    <w:rsid w:val="10DE709A"/>
    <w:rsid w:val="11736708"/>
    <w:rsid w:val="122E43DD"/>
    <w:rsid w:val="126B080F"/>
    <w:rsid w:val="12900868"/>
    <w:rsid w:val="131108E5"/>
    <w:rsid w:val="13135720"/>
    <w:rsid w:val="13C22CA3"/>
    <w:rsid w:val="13D15A15"/>
    <w:rsid w:val="13FA68E0"/>
    <w:rsid w:val="1409694B"/>
    <w:rsid w:val="14FB74F2"/>
    <w:rsid w:val="15026D28"/>
    <w:rsid w:val="15076514"/>
    <w:rsid w:val="150D14C3"/>
    <w:rsid w:val="15BA6327"/>
    <w:rsid w:val="165247B2"/>
    <w:rsid w:val="16BA2357"/>
    <w:rsid w:val="16BF34C9"/>
    <w:rsid w:val="171617FB"/>
    <w:rsid w:val="17A41D79"/>
    <w:rsid w:val="183C2F82"/>
    <w:rsid w:val="1844637C"/>
    <w:rsid w:val="18493992"/>
    <w:rsid w:val="18C706A3"/>
    <w:rsid w:val="18F2756D"/>
    <w:rsid w:val="19562CC2"/>
    <w:rsid w:val="197877B0"/>
    <w:rsid w:val="1A0E3408"/>
    <w:rsid w:val="1ABD2416"/>
    <w:rsid w:val="1AEF3E96"/>
    <w:rsid w:val="1AF31FD2"/>
    <w:rsid w:val="1B630EA1"/>
    <w:rsid w:val="1BE7599C"/>
    <w:rsid w:val="1C297CEA"/>
    <w:rsid w:val="1C7F7D0F"/>
    <w:rsid w:val="1D976F4E"/>
    <w:rsid w:val="1E8431CA"/>
    <w:rsid w:val="1F66677B"/>
    <w:rsid w:val="1FEF4E1F"/>
    <w:rsid w:val="20570DB0"/>
    <w:rsid w:val="214B7F29"/>
    <w:rsid w:val="215A496E"/>
    <w:rsid w:val="216D6944"/>
    <w:rsid w:val="219130A7"/>
    <w:rsid w:val="22155E80"/>
    <w:rsid w:val="224D7C5E"/>
    <w:rsid w:val="226E1F61"/>
    <w:rsid w:val="2348269A"/>
    <w:rsid w:val="23DF33FD"/>
    <w:rsid w:val="24552A57"/>
    <w:rsid w:val="24917051"/>
    <w:rsid w:val="249B71F2"/>
    <w:rsid w:val="24A64188"/>
    <w:rsid w:val="25050C41"/>
    <w:rsid w:val="254C2E07"/>
    <w:rsid w:val="2555354C"/>
    <w:rsid w:val="25964749"/>
    <w:rsid w:val="265623A5"/>
    <w:rsid w:val="26BE1A0F"/>
    <w:rsid w:val="27235079"/>
    <w:rsid w:val="277B57D3"/>
    <w:rsid w:val="27A85B4F"/>
    <w:rsid w:val="27AD46DA"/>
    <w:rsid w:val="27B00FDA"/>
    <w:rsid w:val="27D522EC"/>
    <w:rsid w:val="27E76794"/>
    <w:rsid w:val="29883BEF"/>
    <w:rsid w:val="2997108E"/>
    <w:rsid w:val="2AD964A9"/>
    <w:rsid w:val="2ADC0696"/>
    <w:rsid w:val="2B560448"/>
    <w:rsid w:val="2B7A1817"/>
    <w:rsid w:val="2B9575E3"/>
    <w:rsid w:val="2B993882"/>
    <w:rsid w:val="2BB313F7"/>
    <w:rsid w:val="2BFF288E"/>
    <w:rsid w:val="2CC052A4"/>
    <w:rsid w:val="2CDA6E57"/>
    <w:rsid w:val="2CFD5D8B"/>
    <w:rsid w:val="2DC87ABB"/>
    <w:rsid w:val="2E666BF4"/>
    <w:rsid w:val="2E726F3D"/>
    <w:rsid w:val="2E7C1194"/>
    <w:rsid w:val="2EB86BC2"/>
    <w:rsid w:val="2EF61657"/>
    <w:rsid w:val="2FD14541"/>
    <w:rsid w:val="2FD70E5E"/>
    <w:rsid w:val="302503E9"/>
    <w:rsid w:val="304C57B8"/>
    <w:rsid w:val="30DA6DF9"/>
    <w:rsid w:val="3112096E"/>
    <w:rsid w:val="312132A7"/>
    <w:rsid w:val="317F14A3"/>
    <w:rsid w:val="33C767A4"/>
    <w:rsid w:val="345861E9"/>
    <w:rsid w:val="34931C5F"/>
    <w:rsid w:val="353A2083"/>
    <w:rsid w:val="354B08F2"/>
    <w:rsid w:val="35FF348B"/>
    <w:rsid w:val="36D75896"/>
    <w:rsid w:val="37227431"/>
    <w:rsid w:val="37540003"/>
    <w:rsid w:val="37607CF2"/>
    <w:rsid w:val="37E47522"/>
    <w:rsid w:val="383E4627"/>
    <w:rsid w:val="387E4B3B"/>
    <w:rsid w:val="3894610C"/>
    <w:rsid w:val="3962620A"/>
    <w:rsid w:val="39A520CD"/>
    <w:rsid w:val="39F41723"/>
    <w:rsid w:val="39FF1CAB"/>
    <w:rsid w:val="3A4A60EA"/>
    <w:rsid w:val="3C0E16D7"/>
    <w:rsid w:val="3D536FB0"/>
    <w:rsid w:val="3EA47913"/>
    <w:rsid w:val="3EF618CF"/>
    <w:rsid w:val="3F306B7A"/>
    <w:rsid w:val="3FC419CD"/>
    <w:rsid w:val="40384A7B"/>
    <w:rsid w:val="405C1C05"/>
    <w:rsid w:val="40664FD3"/>
    <w:rsid w:val="415B0978"/>
    <w:rsid w:val="41913B31"/>
    <w:rsid w:val="42097B6B"/>
    <w:rsid w:val="4282598A"/>
    <w:rsid w:val="429C18FA"/>
    <w:rsid w:val="42CA2F5D"/>
    <w:rsid w:val="43893F95"/>
    <w:rsid w:val="43E319F7"/>
    <w:rsid w:val="441822E7"/>
    <w:rsid w:val="443133A9"/>
    <w:rsid w:val="458E5293"/>
    <w:rsid w:val="45C85647"/>
    <w:rsid w:val="46726C2A"/>
    <w:rsid w:val="46B02CAB"/>
    <w:rsid w:val="46CA6839"/>
    <w:rsid w:val="46F45F7E"/>
    <w:rsid w:val="47887784"/>
    <w:rsid w:val="48462ADD"/>
    <w:rsid w:val="490F55FF"/>
    <w:rsid w:val="496F0BFB"/>
    <w:rsid w:val="4AA76173"/>
    <w:rsid w:val="4AE63F54"/>
    <w:rsid w:val="4B143967"/>
    <w:rsid w:val="4B2F54F4"/>
    <w:rsid w:val="4B6127C6"/>
    <w:rsid w:val="4BBF4312"/>
    <w:rsid w:val="4C2634A9"/>
    <w:rsid w:val="4C8E6DAA"/>
    <w:rsid w:val="4CC95811"/>
    <w:rsid w:val="4CCE7A6C"/>
    <w:rsid w:val="4CE3146F"/>
    <w:rsid w:val="4D27359B"/>
    <w:rsid w:val="4DF9657C"/>
    <w:rsid w:val="4E422D06"/>
    <w:rsid w:val="4E6D1482"/>
    <w:rsid w:val="4E9B203E"/>
    <w:rsid w:val="4ECA73AE"/>
    <w:rsid w:val="4F746C04"/>
    <w:rsid w:val="501778F7"/>
    <w:rsid w:val="501E0C85"/>
    <w:rsid w:val="503C2494"/>
    <w:rsid w:val="50681AA0"/>
    <w:rsid w:val="519A07DF"/>
    <w:rsid w:val="51A77FC2"/>
    <w:rsid w:val="5212481A"/>
    <w:rsid w:val="52171E30"/>
    <w:rsid w:val="52861A4A"/>
    <w:rsid w:val="52B4142D"/>
    <w:rsid w:val="52E066C6"/>
    <w:rsid w:val="52FA74FD"/>
    <w:rsid w:val="53986C80"/>
    <w:rsid w:val="54435882"/>
    <w:rsid w:val="546D425D"/>
    <w:rsid w:val="54B343CA"/>
    <w:rsid w:val="54F50220"/>
    <w:rsid w:val="55DB23A7"/>
    <w:rsid w:val="55E77350"/>
    <w:rsid w:val="56644777"/>
    <w:rsid w:val="568F0C01"/>
    <w:rsid w:val="57961F02"/>
    <w:rsid w:val="57A30963"/>
    <w:rsid w:val="58156E12"/>
    <w:rsid w:val="589164A9"/>
    <w:rsid w:val="58977920"/>
    <w:rsid w:val="58DE5456"/>
    <w:rsid w:val="5AF35146"/>
    <w:rsid w:val="5CCB5CF1"/>
    <w:rsid w:val="5CD56B70"/>
    <w:rsid w:val="5D0402CF"/>
    <w:rsid w:val="5DD56AD1"/>
    <w:rsid w:val="5DFD637E"/>
    <w:rsid w:val="5E113BD7"/>
    <w:rsid w:val="5E5D506F"/>
    <w:rsid w:val="5E745CBD"/>
    <w:rsid w:val="5F5E109E"/>
    <w:rsid w:val="603A39DA"/>
    <w:rsid w:val="60597AB8"/>
    <w:rsid w:val="6064568D"/>
    <w:rsid w:val="60C05091"/>
    <w:rsid w:val="620F5C64"/>
    <w:rsid w:val="627078A9"/>
    <w:rsid w:val="62E27F0F"/>
    <w:rsid w:val="62F835B8"/>
    <w:rsid w:val="6341771A"/>
    <w:rsid w:val="634D34D4"/>
    <w:rsid w:val="637E0D16"/>
    <w:rsid w:val="64550596"/>
    <w:rsid w:val="65C92FEA"/>
    <w:rsid w:val="666920D7"/>
    <w:rsid w:val="67094BCE"/>
    <w:rsid w:val="672E57FA"/>
    <w:rsid w:val="67FA392E"/>
    <w:rsid w:val="681744E0"/>
    <w:rsid w:val="68D26659"/>
    <w:rsid w:val="6AA61B8A"/>
    <w:rsid w:val="6D535415"/>
    <w:rsid w:val="6D6830E8"/>
    <w:rsid w:val="6DC5641D"/>
    <w:rsid w:val="6EB44413"/>
    <w:rsid w:val="6F125A01"/>
    <w:rsid w:val="70257130"/>
    <w:rsid w:val="70E52CC5"/>
    <w:rsid w:val="71633B4A"/>
    <w:rsid w:val="71995F66"/>
    <w:rsid w:val="71D13CDB"/>
    <w:rsid w:val="72B648F6"/>
    <w:rsid w:val="745368A0"/>
    <w:rsid w:val="746032C0"/>
    <w:rsid w:val="74C23D1D"/>
    <w:rsid w:val="74C859A1"/>
    <w:rsid w:val="74D80B53"/>
    <w:rsid w:val="7501454E"/>
    <w:rsid w:val="76FC1FA3"/>
    <w:rsid w:val="76FC7D28"/>
    <w:rsid w:val="774668B3"/>
    <w:rsid w:val="781D7C27"/>
    <w:rsid w:val="78306290"/>
    <w:rsid w:val="78992CEF"/>
    <w:rsid w:val="78A84CE1"/>
    <w:rsid w:val="79696DB1"/>
    <w:rsid w:val="79AC25AE"/>
    <w:rsid w:val="79FE7916"/>
    <w:rsid w:val="7AA43EC2"/>
    <w:rsid w:val="7B284539"/>
    <w:rsid w:val="7B8D772A"/>
    <w:rsid w:val="7D6E474B"/>
    <w:rsid w:val="7EB62488"/>
    <w:rsid w:val="7EF27AD6"/>
    <w:rsid w:val="7F2350C1"/>
    <w:rsid w:val="7F2A28F3"/>
    <w:rsid w:val="7F496ADD"/>
    <w:rsid w:val="7F7B314F"/>
    <w:rsid w:val="7F95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33"/>
    <w:qFormat/>
    <w:uiPriority w:val="0"/>
    <w:pPr>
      <w:jc w:val="left"/>
    </w:pPr>
  </w:style>
  <w:style w:type="paragraph" w:styleId="5">
    <w:name w:val="Body Text"/>
    <w:basedOn w:val="1"/>
    <w:next w:val="1"/>
    <w:link w:val="31"/>
    <w:qFormat/>
    <w:uiPriority w:val="99"/>
    <w:pPr>
      <w:spacing w:after="120"/>
    </w:pPr>
  </w:style>
  <w:style w:type="paragraph" w:styleId="6">
    <w:name w:val="Body Text Indent"/>
    <w:basedOn w:val="1"/>
    <w:qFormat/>
    <w:uiPriority w:val="0"/>
    <w:pPr>
      <w:spacing w:after="120"/>
      <w:ind w:left="420" w:leftChars="200"/>
    </w:pPr>
  </w:style>
  <w:style w:type="paragraph" w:styleId="7">
    <w:name w:val="Balloon Text"/>
    <w:basedOn w:val="1"/>
    <w:link w:val="28"/>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annotation subject"/>
    <w:basedOn w:val="4"/>
    <w:next w:val="4"/>
    <w:link w:val="34"/>
    <w:qFormat/>
    <w:uiPriority w:val="0"/>
    <w:rPr>
      <w:b/>
      <w:bCs/>
    </w:rPr>
  </w:style>
  <w:style w:type="paragraph" w:styleId="13">
    <w:name w:val="Body Text First Indent"/>
    <w:basedOn w:val="5"/>
    <w:qFormat/>
    <w:uiPriority w:val="99"/>
    <w:pPr>
      <w:ind w:firstLine="420" w:firstLineChars="100"/>
    </w:pPr>
  </w:style>
  <w:style w:type="paragraph" w:styleId="14">
    <w:name w:val="Body Text First Indent 2"/>
    <w:basedOn w:val="6"/>
    <w:qFormat/>
    <w:uiPriority w:val="99"/>
    <w:pPr>
      <w:ind w:firstLine="420" w:firstLineChars="200"/>
    </w:pPr>
    <w:rPr>
      <w:rFonts w:ascii="Calibri" w:hAnsi="Calibri"/>
      <w:szCs w:val="2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99"/>
    <w:rPr>
      <w:color w:val="0563C1"/>
      <w:u w:val="single"/>
    </w:rPr>
  </w:style>
  <w:style w:type="character" w:styleId="20">
    <w:name w:val="annotation reference"/>
    <w:basedOn w:val="17"/>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22">
    <w:name w:val="NormalCharacter"/>
    <w:qFormat/>
    <w:uiPriority w:val="0"/>
  </w:style>
  <w:style w:type="paragraph" w:customStyle="1" w:styleId="23">
    <w:name w:val="TOC2"/>
    <w:basedOn w:val="1"/>
    <w:next w:val="1"/>
    <w:qFormat/>
    <w:uiPriority w:val="0"/>
    <w:pPr>
      <w:ind w:left="420" w:leftChars="200"/>
    </w:pPr>
  </w:style>
  <w:style w:type="paragraph" w:customStyle="1" w:styleId="24">
    <w:name w:val="中心材料格式-正文"/>
    <w:basedOn w:val="1"/>
    <w:qFormat/>
    <w:uiPriority w:val="0"/>
    <w:pPr>
      <w:spacing w:line="560" w:lineRule="exact"/>
      <w:ind w:firstLine="640" w:firstLineChars="200"/>
    </w:pPr>
    <w:rPr>
      <w:rFonts w:hint="eastAsia" w:eastAsia="仿宋"/>
      <w:sz w:val="32"/>
      <w:szCs w:val="22"/>
    </w:rPr>
  </w:style>
  <w:style w:type="character" w:customStyle="1" w:styleId="25">
    <w:name w:val="font31"/>
    <w:basedOn w:val="17"/>
    <w:qFormat/>
    <w:uiPriority w:val="0"/>
    <w:rPr>
      <w:rFonts w:hint="eastAsia" w:ascii="宋体" w:hAnsi="宋体" w:eastAsia="宋体" w:cs="宋体"/>
      <w:color w:val="000000"/>
      <w:sz w:val="20"/>
      <w:szCs w:val="20"/>
      <w:u w:val="none"/>
    </w:rPr>
  </w:style>
  <w:style w:type="character" w:customStyle="1" w:styleId="26">
    <w:name w:val="15"/>
    <w:basedOn w:val="17"/>
    <w:qFormat/>
    <w:uiPriority w:val="0"/>
    <w:rPr>
      <w:rFonts w:hint="default" w:ascii="Times New Roman" w:hAnsi="Times New Roman" w:cs="Times New Roman"/>
      <w:color w:val="000000"/>
      <w:sz w:val="22"/>
      <w:szCs w:val="22"/>
    </w:rPr>
  </w:style>
  <w:style w:type="character" w:customStyle="1" w:styleId="27">
    <w:name w:val="页眉 字符"/>
    <w:basedOn w:val="17"/>
    <w:link w:val="9"/>
    <w:qFormat/>
    <w:uiPriority w:val="0"/>
    <w:rPr>
      <w:kern w:val="2"/>
      <w:sz w:val="18"/>
      <w:szCs w:val="18"/>
    </w:rPr>
  </w:style>
  <w:style w:type="character" w:customStyle="1" w:styleId="28">
    <w:name w:val="批注框文本 字符"/>
    <w:basedOn w:val="17"/>
    <w:link w:val="7"/>
    <w:qFormat/>
    <w:uiPriority w:val="0"/>
    <w:rPr>
      <w:kern w:val="2"/>
      <w:sz w:val="18"/>
      <w:szCs w:val="18"/>
    </w:rPr>
  </w:style>
  <w:style w:type="character" w:customStyle="1" w:styleId="29">
    <w:name w:val="页脚 字符"/>
    <w:basedOn w:val="17"/>
    <w:link w:val="8"/>
    <w:qFormat/>
    <w:uiPriority w:val="99"/>
    <w:rPr>
      <w:kern w:val="2"/>
      <w:sz w:val="18"/>
      <w:szCs w:val="18"/>
    </w:rPr>
  </w:style>
  <w:style w:type="paragraph" w:styleId="30">
    <w:name w:val="List Paragraph"/>
    <w:basedOn w:val="1"/>
    <w:qFormat/>
    <w:uiPriority w:val="0"/>
    <w:pPr>
      <w:ind w:firstLine="420" w:firstLineChars="200"/>
    </w:pPr>
  </w:style>
  <w:style w:type="character" w:customStyle="1" w:styleId="31">
    <w:name w:val="正文文本 字符"/>
    <w:basedOn w:val="17"/>
    <w:link w:val="5"/>
    <w:qFormat/>
    <w:uiPriority w:val="0"/>
    <w:rPr>
      <w:kern w:val="2"/>
      <w:sz w:val="21"/>
      <w:szCs w:val="24"/>
    </w:rPr>
  </w:style>
  <w:style w:type="character" w:customStyle="1" w:styleId="32">
    <w:name w:val="正文文本首行缩进 字符"/>
    <w:basedOn w:val="31"/>
    <w:qFormat/>
    <w:uiPriority w:val="0"/>
    <w:rPr>
      <w:kern w:val="2"/>
      <w:sz w:val="21"/>
      <w:szCs w:val="24"/>
    </w:rPr>
  </w:style>
  <w:style w:type="character" w:customStyle="1" w:styleId="33">
    <w:name w:val="批注文字 字符"/>
    <w:basedOn w:val="17"/>
    <w:link w:val="4"/>
    <w:qFormat/>
    <w:uiPriority w:val="0"/>
    <w:rPr>
      <w:kern w:val="2"/>
      <w:sz w:val="21"/>
      <w:szCs w:val="24"/>
    </w:rPr>
  </w:style>
  <w:style w:type="character" w:customStyle="1" w:styleId="34">
    <w:name w:val="批注主题 字符"/>
    <w:basedOn w:val="33"/>
    <w:link w:val="12"/>
    <w:qFormat/>
    <w:uiPriority w:val="0"/>
    <w:rPr>
      <w:b/>
      <w:bCs/>
      <w:kern w:val="2"/>
      <w:sz w:val="21"/>
      <w:szCs w:val="24"/>
    </w:rPr>
  </w:style>
  <w:style w:type="paragraph" w:customStyle="1" w:styleId="35">
    <w:name w:val="闻政页码"/>
    <w:qFormat/>
    <w:uiPriority w:val="6"/>
    <w:pPr>
      <w:jc w:val="center"/>
    </w:pPr>
    <w:rPr>
      <w:rFonts w:ascii="Times New Roman" w:hAnsi="Times New Roman" w:eastAsia="Times New Roman" w:cs="Times New Roman"/>
      <w:sz w:val="21"/>
      <w:szCs w:val="28"/>
      <w:lang w:val="en-US" w:eastAsia="zh-CN" w:bidi="ar-SA"/>
    </w:rPr>
  </w:style>
  <w:style w:type="paragraph" w:customStyle="1" w:styleId="36">
    <w:name w:val="_Style 2"/>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A43BC-4193-4038-865E-86634901AAF1}">
  <ds:schemaRefs/>
</ds:datastoreItem>
</file>

<file path=docProps/app.xml><?xml version="1.0" encoding="utf-8"?>
<Properties xmlns="http://schemas.openxmlformats.org/officeDocument/2006/extended-properties" xmlns:vt="http://schemas.openxmlformats.org/officeDocument/2006/docPropsVTypes">
  <Template>Normal</Template>
  <Pages>27</Pages>
  <Words>410</Words>
  <Characters>430</Characters>
  <Lines>368</Lines>
  <Paragraphs>89</Paragraphs>
  <TotalTime>269</TotalTime>
  <ScaleCrop>false</ScaleCrop>
  <LinksUpToDate>false</LinksUpToDate>
  <CharactersWithSpaces>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2025-06-30T07:19:00Z</dcterms:created>
  <dc:creator>ZFX</dc:creator>
  <cp:lastModifiedBy>张勇</cp:lastModifiedBy>
  <cp:lastPrinted>2023-06-25T03:10:00Z</cp:lastPrinted>
  <dcterms:modified xsi:type="dcterms:W3CDTF">2025-11-12T06:36:05Z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69A8AAF5CC0E48A7AE37BBF070E5FFF8_13</vt:lpwstr>
  </property>
  <property fmtid="{D5CDD505-2E9C-101B-9397-08002B2CF9AE}" pid="4" name="KSOTemplateDocerSaveRecord">
    <vt:lpwstr>eyJoZGlkIjoiYWY5MGQ3NDExMTAyZmFhMjY2OTZkODQ0ZmM2OGY4YWMiLCJ1c2VySWQiOiI0ODMyODY5NzEifQ==</vt:lpwstr>
  </property>
</Properties>
</file>