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11D46">
      <w:pPr>
        <w:spacing w:line="590" w:lineRule="exact"/>
        <w:ind w:firstLine="0" w:firstLineChars="0"/>
        <w:jc w:val="center"/>
        <w:rPr>
          <w:rFonts w:hint="eastAsia" w:ascii="Times New Roman" w:hAnsi="方正小标宋_GBK" w:eastAsia="方正小标宋_GBK"/>
          <w:kern w:val="44"/>
          <w:sz w:val="44"/>
          <w:szCs w:val="44"/>
        </w:rPr>
      </w:pPr>
    </w:p>
    <w:p w14:paraId="2480671F">
      <w:pPr>
        <w:spacing w:line="590" w:lineRule="exact"/>
        <w:ind w:firstLine="0" w:firstLineChars="0"/>
        <w:jc w:val="center"/>
        <w:rPr>
          <w:rFonts w:ascii="Times New Roman" w:hAnsi="方正小标宋_GBK" w:eastAsia="方正小标宋_GBK"/>
          <w:kern w:val="44"/>
          <w:sz w:val="44"/>
          <w:szCs w:val="44"/>
        </w:rPr>
      </w:pPr>
    </w:p>
    <w:p w14:paraId="295C4E9A">
      <w:pPr>
        <w:spacing w:line="590" w:lineRule="exact"/>
        <w:ind w:firstLine="420"/>
      </w:pPr>
    </w:p>
    <w:p w14:paraId="7E1FD3D9">
      <w:pPr>
        <w:pStyle w:val="2"/>
        <w:overflowPunct w:val="0"/>
        <w:adjustRightInd w:val="0"/>
        <w:snapToGrid w:val="0"/>
        <w:spacing w:beforeAutospacing="0" w:afterAutospacing="0" w:line="590" w:lineRule="exact"/>
        <w:jc w:val="center"/>
        <w:rPr>
          <w:rFonts w:ascii="Times New Roman" w:hAnsi="Times New Roman" w:eastAsia="方正小标宋_GBK"/>
          <w:b w:val="0"/>
          <w:sz w:val="44"/>
          <w:szCs w:val="44"/>
        </w:rPr>
      </w:pPr>
      <w:r>
        <w:rPr>
          <w:rFonts w:ascii="Times New Roman" w:hAnsi="方正小标宋_GBK" w:eastAsia="方正小标宋_GBK"/>
          <w:b w:val="0"/>
          <w:sz w:val="44"/>
          <w:szCs w:val="44"/>
        </w:rPr>
        <w:t>关于</w:t>
      </w:r>
      <w:r>
        <w:rPr>
          <w:rFonts w:hint="eastAsia" w:ascii="Times New Roman" w:hAnsi="方正小标宋_GBK" w:eastAsia="方正小标宋_GBK"/>
          <w:b w:val="0"/>
          <w:sz w:val="44"/>
          <w:szCs w:val="44"/>
        </w:rPr>
        <w:t>开展</w:t>
      </w:r>
      <w:r>
        <w:rPr>
          <w:rFonts w:hint="eastAsia" w:ascii="Times New Roman" w:hAnsi="Times New Roman" w:eastAsia="方正小标宋_GBK"/>
          <w:b w:val="0"/>
          <w:sz w:val="44"/>
          <w:szCs w:val="44"/>
        </w:rPr>
        <w:t>202</w:t>
      </w:r>
      <w:r>
        <w:rPr>
          <w:rFonts w:hint="eastAsia" w:ascii="Times New Roman" w:hAnsi="Times New Roman" w:eastAsia="方正小标宋_GBK"/>
          <w:b w:val="0"/>
          <w:sz w:val="44"/>
          <w:szCs w:val="44"/>
          <w:lang w:val="en-US" w:eastAsia="zh-CN"/>
        </w:rPr>
        <w:t>6</w:t>
      </w:r>
      <w:r>
        <w:rPr>
          <w:rFonts w:hint="eastAsia" w:ascii="Times New Roman" w:hAnsi="Times New Roman" w:eastAsia="方正小标宋_GBK"/>
          <w:b w:val="0"/>
          <w:sz w:val="44"/>
          <w:szCs w:val="44"/>
        </w:rPr>
        <w:t>年度享受增值税加计抵减</w:t>
      </w:r>
      <w:r>
        <w:rPr>
          <w:rFonts w:ascii="Times New Roman" w:hAnsi="方正小标宋_GBK" w:eastAsia="方正小标宋_GBK"/>
          <w:b w:val="0"/>
          <w:sz w:val="44"/>
          <w:szCs w:val="44"/>
        </w:rPr>
        <w:t>政策的工业母机企业清单制定工作的通知</w:t>
      </w:r>
    </w:p>
    <w:p w14:paraId="62085AC9">
      <w:pPr>
        <w:overflowPunct w:val="0"/>
        <w:adjustRightInd w:val="0"/>
        <w:snapToGrid w:val="0"/>
        <w:spacing w:line="590" w:lineRule="exact"/>
        <w:ind w:firstLine="420"/>
        <w:rPr>
          <w:rFonts w:ascii="Times New Roman" w:hAnsi="Times New Roman"/>
          <w:szCs w:val="21"/>
        </w:rPr>
      </w:pPr>
    </w:p>
    <w:p w14:paraId="2AF0B032">
      <w:pPr>
        <w:pStyle w:val="7"/>
        <w:overflowPunct w:val="0"/>
        <w:adjustRightInd w:val="0"/>
        <w:snapToGrid w:val="0"/>
        <w:spacing w:beforeAutospacing="0" w:afterAutospacing="0" w:line="590" w:lineRule="exact"/>
        <w:jc w:val="both"/>
        <w:rPr>
          <w:rFonts w:ascii="Times New Roman" w:hAnsi="方正仿宋_GBK" w:eastAsia="方正仿宋_GBK"/>
          <w:sz w:val="32"/>
          <w:szCs w:val="32"/>
        </w:rPr>
      </w:pPr>
      <w:r>
        <w:rPr>
          <w:rFonts w:ascii="Times New Roman" w:hAnsi="方正仿宋_GBK" w:eastAsia="方正仿宋_GBK"/>
          <w:sz w:val="32"/>
          <w:szCs w:val="32"/>
        </w:rPr>
        <w:t>各设区市</w:t>
      </w:r>
      <w:r>
        <w:rPr>
          <w:rFonts w:hint="eastAsia" w:ascii="Times New Roman" w:hAnsi="方正仿宋_GBK" w:eastAsia="方正仿宋_GBK"/>
          <w:sz w:val="32"/>
          <w:szCs w:val="32"/>
        </w:rPr>
        <w:t>工业和信息化</w:t>
      </w:r>
      <w:r>
        <w:rPr>
          <w:rFonts w:ascii="Times New Roman" w:hAnsi="方正仿宋_GBK" w:eastAsia="方正仿宋_GBK"/>
          <w:sz w:val="32"/>
          <w:szCs w:val="32"/>
        </w:rPr>
        <w:t>局、财政局，国家税务总局各设区市</w:t>
      </w:r>
      <w:r>
        <w:rPr>
          <w:rFonts w:hint="eastAsia" w:ascii="Times New Roman" w:hAnsi="方正仿宋_GBK" w:eastAsia="方正仿宋_GBK"/>
          <w:sz w:val="32"/>
          <w:szCs w:val="32"/>
        </w:rPr>
        <w:t>及苏州工业园区税务局</w:t>
      </w:r>
      <w:r>
        <w:rPr>
          <w:rFonts w:ascii="Times New Roman" w:hAnsi="方正仿宋_GBK" w:eastAsia="方正仿宋_GBK"/>
          <w:sz w:val="32"/>
          <w:szCs w:val="32"/>
        </w:rPr>
        <w:t>：</w:t>
      </w:r>
    </w:p>
    <w:p w14:paraId="0A12517E">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为贯彻落实《</w:t>
      </w:r>
      <w:bookmarkStart w:id="0" w:name="OLE_LINK1"/>
      <w:bookmarkStart w:id="1" w:name="OLE_LINK2"/>
      <w:r>
        <w:rPr>
          <w:rFonts w:hint="eastAsia" w:ascii="Times New Roman" w:hAnsi="Times New Roman" w:eastAsia="方正仿宋_GBK"/>
          <w:sz w:val="32"/>
          <w:szCs w:val="32"/>
        </w:rPr>
        <w:t>工业和信息化部 财政部 税务总局关于开展202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年度享受增值税加计抵减政策的工业母机企业清单制定工作的通知</w:t>
      </w:r>
      <w:bookmarkEnd w:id="0"/>
      <w:bookmarkEnd w:id="1"/>
      <w:r>
        <w:rPr>
          <w:rFonts w:ascii="Times New Roman" w:hAnsi="方正仿宋_GBK" w:eastAsia="方正仿宋_GBK"/>
          <w:sz w:val="32"/>
          <w:szCs w:val="32"/>
        </w:rPr>
        <w:t>》（工信部联通装函</w:t>
      </w:r>
      <w:r>
        <w:rPr>
          <w:rFonts w:ascii="Times New Roman" w:hAnsi="Times New Roman" w:eastAsia="方正仿宋_GBK"/>
          <w:sz w:val="32"/>
          <w:szCs w:val="32"/>
        </w:rPr>
        <w:t>〔2025〕</w:t>
      </w:r>
      <w:r>
        <w:rPr>
          <w:rFonts w:hint="eastAsia" w:ascii="Times New Roman" w:hAnsi="Times New Roman" w:eastAsia="方正仿宋_GBK"/>
          <w:sz w:val="32"/>
          <w:szCs w:val="32"/>
          <w:lang w:val="en-US" w:eastAsia="zh-CN"/>
        </w:rPr>
        <w:t>95</w:t>
      </w:r>
      <w:r>
        <w:rPr>
          <w:rFonts w:ascii="Times New Roman" w:hAnsi="方正仿宋_GBK" w:eastAsia="方正仿宋_GBK"/>
          <w:sz w:val="32"/>
          <w:szCs w:val="32"/>
        </w:rPr>
        <w:t>号</w:t>
      </w:r>
      <w:r>
        <w:rPr>
          <w:rFonts w:ascii="Times New Roman" w:hAnsi="Times New Roman" w:eastAsia="方正仿宋_GBK"/>
          <w:sz w:val="32"/>
          <w:szCs w:val="32"/>
        </w:rPr>
        <w:t>）（附件1）部署，做好我省企业清单</w:t>
      </w:r>
      <w:r>
        <w:rPr>
          <w:rFonts w:hint="eastAsia" w:ascii="Times New Roman" w:hAnsi="Times New Roman" w:eastAsia="方正仿宋_GBK"/>
          <w:sz w:val="32"/>
          <w:szCs w:val="32"/>
        </w:rPr>
        <w:t>申报和审核</w:t>
      </w:r>
      <w:r>
        <w:rPr>
          <w:rFonts w:ascii="Times New Roman" w:hAnsi="Times New Roman" w:eastAsia="方正仿宋_GBK"/>
          <w:sz w:val="32"/>
          <w:szCs w:val="32"/>
        </w:rPr>
        <w:t>工作，现就相关事项通知如下</w:t>
      </w:r>
      <w:r>
        <w:rPr>
          <w:rFonts w:hint="eastAsia" w:ascii="Times New Roman" w:hAnsi="Times New Roman" w:eastAsia="方正仿宋_GBK"/>
          <w:sz w:val="32"/>
          <w:szCs w:val="32"/>
        </w:rPr>
        <w:t>。</w:t>
      </w:r>
    </w:p>
    <w:p w14:paraId="038475BB">
      <w:pPr>
        <w:pStyle w:val="7"/>
        <w:overflowPunct w:val="0"/>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Fonts w:ascii="Times New Roman" w:hAnsi="Times New Roman" w:eastAsia="方正黑体_GBK"/>
          <w:sz w:val="32"/>
          <w:szCs w:val="32"/>
        </w:rPr>
        <w:t>一、</w:t>
      </w:r>
      <w:r>
        <w:rPr>
          <w:rFonts w:hint="eastAsia" w:ascii="Times New Roman" w:hAnsi="Times New Roman" w:eastAsia="方正黑体_GBK"/>
          <w:sz w:val="32"/>
          <w:szCs w:val="32"/>
        </w:rPr>
        <w:t>申报</w:t>
      </w:r>
      <w:r>
        <w:rPr>
          <w:rFonts w:ascii="Times New Roman" w:hAnsi="Times New Roman" w:eastAsia="方正黑体_GBK"/>
          <w:sz w:val="32"/>
          <w:szCs w:val="32"/>
        </w:rPr>
        <w:t>范围</w:t>
      </w:r>
    </w:p>
    <w:p w14:paraId="72461AE8">
      <w:pPr>
        <w:pStyle w:val="7"/>
        <w:overflowPunct w:val="0"/>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Fonts w:hint="eastAsia" w:ascii="Times New Roman" w:hAnsi="Times New Roman" w:eastAsia="方正仿宋_GBK"/>
          <w:sz w:val="32"/>
          <w:szCs w:val="32"/>
        </w:rPr>
        <w:t>申报企业在江苏省区域内注册，生产销售</w:t>
      </w:r>
      <w:r>
        <w:rPr>
          <w:rFonts w:ascii="Times New Roman" w:hAnsi="Times New Roman" w:eastAsia="方正仿宋_GBK"/>
          <w:sz w:val="32"/>
          <w:szCs w:val="32"/>
        </w:rPr>
        <w:t>财税〔2023〕25号文中提及的先进工业母机主机、关键功能部件、数控系统</w:t>
      </w:r>
      <w:r>
        <w:rPr>
          <w:rFonts w:hint="eastAsia" w:ascii="Times New Roman" w:hAnsi="Times New Roman" w:eastAsia="方正仿宋_GBK"/>
          <w:sz w:val="32"/>
          <w:szCs w:val="32"/>
          <w:lang w:val="en-US" w:eastAsia="zh-CN"/>
        </w:rPr>
        <w:t>等产品</w:t>
      </w:r>
      <w:r>
        <w:rPr>
          <w:rFonts w:ascii="Times New Roman" w:hAnsi="Times New Roman" w:eastAsia="方正仿宋_GBK"/>
          <w:sz w:val="32"/>
          <w:szCs w:val="32"/>
        </w:rPr>
        <w:t>，且满足增值税加计抵减政策相关条件（附件2、附件3）</w:t>
      </w:r>
      <w:r>
        <w:rPr>
          <w:rFonts w:hint="eastAsia" w:ascii="Times New Roman" w:hAnsi="Times New Roman" w:eastAsia="方正仿宋_GBK"/>
          <w:sz w:val="32"/>
          <w:szCs w:val="32"/>
        </w:rPr>
        <w:t>。</w:t>
      </w:r>
    </w:p>
    <w:p w14:paraId="3B705FFF">
      <w:pPr>
        <w:pStyle w:val="7"/>
        <w:overflowPunct w:val="0"/>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Fonts w:ascii="Times New Roman" w:hAnsi="Times New Roman" w:eastAsia="方正黑体_GBK"/>
          <w:sz w:val="32"/>
          <w:szCs w:val="32"/>
        </w:rPr>
        <w:t>二、申报程序</w:t>
      </w:r>
    </w:p>
    <w:p w14:paraId="525A5B76">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（一）申请列入清单的企业（含所属的非法人分支机构）应于202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18</w:t>
      </w:r>
      <w:r>
        <w:rPr>
          <w:rFonts w:hint="eastAsia" w:ascii="Times New Roman" w:hAnsi="Times New Roman" w:eastAsia="方正仿宋_GBK"/>
          <w:sz w:val="32"/>
          <w:szCs w:val="32"/>
        </w:rPr>
        <w:t>日前在信息填报系统（www.gymjtax.com）中提交申请，</w:t>
      </w:r>
      <w:r>
        <w:rPr>
          <w:rFonts w:ascii="Times New Roman" w:hAnsi="Times New Roman" w:eastAsia="方正仿宋_GBK"/>
          <w:sz w:val="32"/>
          <w:szCs w:val="32"/>
        </w:rPr>
        <w:t>并生成纸质文件加盖企业公章，连同必要佐证材料报各设区市</w:t>
      </w:r>
      <w:r>
        <w:rPr>
          <w:rFonts w:hint="eastAsia" w:ascii="Times New Roman" w:hAnsi="Times New Roman" w:eastAsia="方正仿宋_GBK"/>
          <w:sz w:val="32"/>
          <w:szCs w:val="32"/>
        </w:rPr>
        <w:t>工业和信息化主管部门</w:t>
      </w:r>
      <w:r>
        <w:rPr>
          <w:rFonts w:ascii="Times New Roman" w:hAnsi="Times New Roman" w:eastAsia="方正仿宋_GBK"/>
          <w:sz w:val="32"/>
          <w:szCs w:val="32"/>
        </w:rPr>
        <w:t>。</w:t>
      </w:r>
      <w:r>
        <w:rPr>
          <w:rFonts w:hint="eastAsia" w:ascii="Times New Roman" w:hAnsi="Times New Roman" w:eastAsia="方正仿宋_GBK"/>
          <w:sz w:val="32"/>
          <w:szCs w:val="32"/>
        </w:rPr>
        <w:t>已列入202</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年清单的企业，拟继续申请进入202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年清单的，须重新提交《享受增值税加计抵减政策的工业母机企业提交证明材料清单》（附件</w:t>
      </w:r>
      <w:r>
        <w:rPr>
          <w:rFonts w:ascii="Times New Roman" w:hAnsi="Times New Roman" w:eastAsia="方正仿宋_GBK"/>
          <w:sz w:val="32"/>
          <w:szCs w:val="32"/>
        </w:rPr>
        <w:t>1</w:t>
      </w:r>
      <w:r>
        <w:rPr>
          <w:rFonts w:hint="eastAsia" w:ascii="Times New Roman" w:hAnsi="Times New Roman" w:eastAsia="方正仿宋_GBK"/>
          <w:sz w:val="32"/>
          <w:szCs w:val="32"/>
        </w:rPr>
        <w:t>）中第2、3、6、8、9项。</w:t>
      </w:r>
    </w:p>
    <w:p w14:paraId="260BC8DB">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（二）各地工信部门根据通知</w:t>
      </w:r>
      <w:r>
        <w:rPr>
          <w:rFonts w:ascii="Times New Roman" w:hAnsi="Times New Roman" w:eastAsia="方正仿宋_GBK"/>
          <w:sz w:val="32"/>
          <w:szCs w:val="32"/>
        </w:rPr>
        <w:t>要求</w:t>
      </w:r>
      <w:r>
        <w:rPr>
          <w:rFonts w:hint="eastAsia" w:ascii="Times New Roman" w:hAnsi="Times New Roman" w:eastAsia="方正仿宋_GBK"/>
          <w:sz w:val="32"/>
          <w:szCs w:val="32"/>
        </w:rPr>
        <w:t>对企业申报信息进行初核，并于</w:t>
      </w:r>
      <w:r>
        <w:rPr>
          <w:rFonts w:ascii="Times New Roman" w:hAnsi="Times New Roman" w:eastAsia="方正仿宋_GBK"/>
          <w:sz w:val="32"/>
          <w:szCs w:val="32"/>
        </w:rPr>
        <w:t>9</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22</w:t>
      </w:r>
      <w:bookmarkStart w:id="2" w:name="_GoBack"/>
      <w:bookmarkEnd w:id="2"/>
      <w:r>
        <w:rPr>
          <w:rFonts w:hint="eastAsia" w:ascii="Times New Roman" w:hAnsi="Times New Roman" w:eastAsia="方正仿宋_GBK"/>
          <w:sz w:val="32"/>
          <w:szCs w:val="32"/>
        </w:rPr>
        <w:t>日前将加盖单位</w:t>
      </w:r>
      <w:r>
        <w:rPr>
          <w:rFonts w:ascii="Times New Roman" w:hAnsi="Times New Roman" w:eastAsia="方正仿宋_GBK"/>
          <w:sz w:val="32"/>
          <w:szCs w:val="32"/>
        </w:rPr>
        <w:t>公章的</w:t>
      </w:r>
      <w:r>
        <w:rPr>
          <w:rFonts w:hint="eastAsia" w:ascii="Times New Roman" w:hAnsi="Times New Roman" w:eastAsia="方正仿宋_GBK"/>
          <w:sz w:val="32"/>
          <w:szCs w:val="32"/>
        </w:rPr>
        <w:t>推荐函、初审通过企业</w:t>
      </w:r>
      <w:r>
        <w:rPr>
          <w:rFonts w:ascii="Times New Roman" w:hAnsi="Times New Roman" w:eastAsia="方正仿宋_GBK"/>
          <w:sz w:val="32"/>
          <w:szCs w:val="32"/>
        </w:rPr>
        <w:t>名单汇总表</w:t>
      </w:r>
      <w:r>
        <w:rPr>
          <w:rFonts w:hint="eastAsia" w:ascii="Times New Roman" w:hAnsi="Times New Roman" w:eastAsia="方正仿宋_GBK"/>
          <w:sz w:val="32"/>
          <w:szCs w:val="32"/>
        </w:rPr>
        <w:t>（附件4）及企业申报材料（电子版1份、纸质版</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份）报送至省工业和信息化厅。</w:t>
      </w:r>
    </w:p>
    <w:p w14:paraId="0D670BE9">
      <w:pPr>
        <w:pStyle w:val="7"/>
        <w:overflowPunct w:val="0"/>
        <w:adjustRightInd w:val="0"/>
        <w:snapToGrid w:val="0"/>
        <w:spacing w:beforeAutospacing="0" w:afterAutospacing="0" w:line="590" w:lineRule="exact"/>
        <w:ind w:firstLine="640" w:firstLineChars="200"/>
        <w:jc w:val="both"/>
        <w:rPr>
          <w:rFonts w:ascii="Times New Roman" w:hAnsi="Times New Roman" w:eastAsia="方正黑体_GBK"/>
          <w:sz w:val="32"/>
          <w:szCs w:val="32"/>
        </w:rPr>
      </w:pPr>
      <w:r>
        <w:rPr>
          <w:rFonts w:ascii="Times New Roman" w:hAnsi="Times New Roman" w:eastAsia="方正黑体_GBK"/>
          <w:sz w:val="32"/>
          <w:szCs w:val="32"/>
        </w:rPr>
        <w:t>三、有关要求</w:t>
      </w:r>
    </w:p>
    <w:p w14:paraId="6F22F6AA">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（一）请各地工信部门做好宣传发动，组织符合条件的企业应报尽报，并做好审核把关。</w:t>
      </w:r>
      <w:r>
        <w:rPr>
          <w:rFonts w:hint="eastAsia" w:ascii="Times New Roman" w:hAnsi="Times New Roman" w:eastAsia="方正仿宋_GBK"/>
          <w:sz w:val="32"/>
          <w:szCs w:val="32"/>
        </w:rPr>
        <w:t>申报企业对所提供材料和数据的真实性负责，并签署承诺书，承诺如申报出现失信行为，接受有关部门按照法律、法规和国家有关规定处理。</w:t>
      </w:r>
    </w:p>
    <w:p w14:paraId="095FBAB7">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（二）各地工信部门</w:t>
      </w:r>
      <w:r>
        <w:rPr>
          <w:rFonts w:hint="eastAsia" w:ascii="Times New Roman" w:hAnsi="Times New Roman" w:eastAsia="方正仿宋_GBK"/>
          <w:sz w:val="32"/>
          <w:szCs w:val="32"/>
        </w:rPr>
        <w:t>会同财政、税务部门对清单内企业加强日常监管。在监管过程中，如发现企业存在以虚假信息获得减免税资格，应及时联合核查，并联合报送省工业</w:t>
      </w:r>
      <w:r>
        <w:rPr>
          <w:rFonts w:ascii="Times New Roman" w:hAnsi="Times New Roman" w:eastAsia="方正仿宋_GBK"/>
          <w:sz w:val="32"/>
          <w:szCs w:val="32"/>
        </w:rPr>
        <w:t>和信息化厅</w:t>
      </w:r>
      <w:r>
        <w:rPr>
          <w:rFonts w:hint="eastAsia" w:ascii="Times New Roman" w:hAnsi="Times New Roman" w:eastAsia="方正仿宋_GBK"/>
          <w:sz w:val="32"/>
          <w:szCs w:val="32"/>
        </w:rPr>
        <w:t>。</w:t>
      </w:r>
    </w:p>
    <w:p w14:paraId="5CB86FA8">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（三）</w:t>
      </w:r>
      <w:r>
        <w:rPr>
          <w:rFonts w:hint="eastAsia" w:ascii="Times New Roman" w:hAnsi="Times New Roman" w:eastAsia="方正仿宋_GBK"/>
          <w:sz w:val="32"/>
          <w:szCs w:val="32"/>
        </w:rPr>
        <w:t>清单有效期内，如企业发生更名、分立、合并、重组以及主营业务重大变化等情况，</w:t>
      </w:r>
      <w:r>
        <w:rPr>
          <w:rFonts w:ascii="Times New Roman" w:hAnsi="Times New Roman" w:eastAsia="方正仿宋_GBK"/>
          <w:sz w:val="32"/>
          <w:szCs w:val="32"/>
        </w:rPr>
        <w:t>各地工信部门应于企业完成变更登记之日起45日内将核实后的企业重大变化情况表（见附件1）和相关材料报省工业和信息化厅，超过报送变更情况说明时间的，将不予受理</w:t>
      </w:r>
      <w:r>
        <w:rPr>
          <w:rFonts w:hint="eastAsia" w:ascii="Times New Roman" w:hAnsi="Times New Roman" w:eastAsia="方正仿宋_GBK"/>
          <w:sz w:val="32"/>
          <w:szCs w:val="32"/>
        </w:rPr>
        <w:t>。</w:t>
      </w:r>
    </w:p>
    <w:p w14:paraId="766F9A8B">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p>
    <w:p w14:paraId="7CAFD6F9">
      <w:pPr>
        <w:pStyle w:val="7"/>
        <w:adjustRightInd w:val="0"/>
        <w:snapToGrid w:val="0"/>
        <w:spacing w:beforeAutospacing="0" w:afterAutospacing="0" w:line="590" w:lineRule="exact"/>
        <w:ind w:firstLine="640" w:firstLineChars="200"/>
        <w:jc w:val="both"/>
        <w:rPr>
          <w:rFonts w:ascii="Times New Roman" w:hAnsi="Times New Roman" w:eastAsia="方正仿宋_GBK"/>
          <w:kern w:val="32"/>
          <w:sz w:val="32"/>
          <w:szCs w:val="32"/>
        </w:rPr>
      </w:pPr>
      <w:r>
        <w:rPr>
          <w:rFonts w:ascii="Times New Roman" w:hAnsi="Times New Roman" w:eastAsia="方正仿宋_GBK"/>
          <w:kern w:val="32"/>
          <w:sz w:val="32"/>
          <w:szCs w:val="32"/>
        </w:rPr>
        <w:t>联系人：</w:t>
      </w:r>
      <w:r>
        <w:rPr>
          <w:rFonts w:ascii="Times New Roman" w:hAnsi="Times New Roman" w:eastAsia="方正仿宋_GBK"/>
          <w:kern w:val="32"/>
          <w:sz w:val="32"/>
          <w:szCs w:val="32"/>
        </w:rPr>
        <w:tab/>
      </w:r>
    </w:p>
    <w:p w14:paraId="2445999B">
      <w:pPr>
        <w:pStyle w:val="7"/>
        <w:adjustRightInd w:val="0"/>
        <w:snapToGrid w:val="0"/>
        <w:spacing w:beforeAutospacing="0" w:afterAutospacing="0" w:line="590" w:lineRule="exact"/>
        <w:ind w:firstLine="640" w:firstLineChars="200"/>
        <w:jc w:val="both"/>
        <w:rPr>
          <w:rFonts w:hint="default" w:ascii="Times New Roman" w:hAnsi="Times New Roman" w:eastAsia="方正仿宋_GBK"/>
          <w:kern w:val="32"/>
          <w:sz w:val="32"/>
          <w:szCs w:val="32"/>
          <w:lang w:val="en-US" w:eastAsia="zh-CN"/>
        </w:rPr>
      </w:pPr>
      <w:r>
        <w:rPr>
          <w:rFonts w:ascii="Times New Roman" w:hAnsi="Times New Roman" w:eastAsia="方正仿宋_GBK"/>
          <w:kern w:val="32"/>
          <w:sz w:val="32"/>
          <w:szCs w:val="32"/>
        </w:rPr>
        <w:t xml:space="preserve">省工业和信息化厅          </w:t>
      </w:r>
      <w:r>
        <w:rPr>
          <w:rFonts w:hint="eastAsia" w:ascii="Times New Roman" w:hAnsi="Times New Roman" w:eastAsia="方正仿宋_GBK"/>
          <w:kern w:val="32"/>
          <w:sz w:val="32"/>
          <w:szCs w:val="32"/>
          <w:lang w:val="en-US" w:eastAsia="zh-CN"/>
        </w:rPr>
        <w:t>何  杰</w:t>
      </w:r>
      <w:r>
        <w:rPr>
          <w:rFonts w:ascii="Times New Roman" w:hAnsi="Times New Roman" w:eastAsia="方正仿宋_GBK"/>
          <w:kern w:val="32"/>
          <w:sz w:val="32"/>
          <w:szCs w:val="32"/>
        </w:rPr>
        <w:t xml:space="preserve">     025-69652</w:t>
      </w:r>
      <w:r>
        <w:rPr>
          <w:rFonts w:hint="eastAsia" w:ascii="Times New Roman" w:hAnsi="Times New Roman" w:eastAsia="方正仿宋_GBK"/>
          <w:kern w:val="32"/>
          <w:sz w:val="32"/>
          <w:szCs w:val="32"/>
          <w:lang w:val="en-US" w:eastAsia="zh-CN"/>
        </w:rPr>
        <w:t>693</w:t>
      </w:r>
    </w:p>
    <w:p w14:paraId="5F1159C4">
      <w:pPr>
        <w:pStyle w:val="7"/>
        <w:adjustRightInd w:val="0"/>
        <w:snapToGrid w:val="0"/>
        <w:spacing w:beforeAutospacing="0" w:afterAutospacing="0" w:line="590" w:lineRule="exact"/>
        <w:ind w:firstLine="640" w:firstLineChars="200"/>
        <w:jc w:val="both"/>
        <w:rPr>
          <w:rFonts w:ascii="Times New Roman" w:hAnsi="Times New Roman" w:eastAsia="方正仿宋_GBK"/>
          <w:kern w:val="32"/>
          <w:sz w:val="32"/>
          <w:szCs w:val="32"/>
          <w:highlight w:val="none"/>
        </w:rPr>
      </w:pPr>
      <w:r>
        <w:rPr>
          <w:rFonts w:ascii="Times New Roman" w:hAnsi="Times New Roman" w:eastAsia="方正仿宋_GBK"/>
          <w:kern w:val="32"/>
          <w:sz w:val="32"/>
          <w:szCs w:val="32"/>
          <w:highlight w:val="none"/>
        </w:rPr>
        <w:t>省财政厅</w:t>
      </w:r>
      <w:r>
        <w:rPr>
          <w:rFonts w:hint="eastAsia" w:ascii="Times New Roman" w:hAnsi="Times New Roman" w:eastAsia="方正仿宋_GBK"/>
          <w:kern w:val="32"/>
          <w:sz w:val="32"/>
          <w:szCs w:val="32"/>
          <w:highlight w:val="none"/>
        </w:rPr>
        <w:t xml:space="preserve">               </w:t>
      </w:r>
      <w:r>
        <w:rPr>
          <w:rFonts w:ascii="Times New Roman" w:hAnsi="Times New Roman" w:eastAsia="方正仿宋_GBK"/>
          <w:kern w:val="32"/>
          <w:sz w:val="32"/>
          <w:szCs w:val="32"/>
          <w:highlight w:val="none"/>
        </w:rPr>
        <w:t xml:space="preserve">   </w:t>
      </w:r>
      <w:r>
        <w:rPr>
          <w:rFonts w:hint="eastAsia" w:ascii="Times New Roman" w:hAnsi="Times New Roman" w:eastAsia="方正仿宋_GBK"/>
          <w:kern w:val="32"/>
          <w:sz w:val="32"/>
          <w:szCs w:val="32"/>
          <w:highlight w:val="none"/>
        </w:rPr>
        <w:t>汪志勇     025</w:t>
      </w:r>
      <w:r>
        <w:rPr>
          <w:rFonts w:ascii="Times New Roman" w:hAnsi="Times New Roman" w:eastAsia="方正仿宋_GBK"/>
          <w:kern w:val="32"/>
          <w:sz w:val="32"/>
          <w:szCs w:val="32"/>
          <w:highlight w:val="none"/>
        </w:rPr>
        <w:t>-83633300</w:t>
      </w:r>
    </w:p>
    <w:p w14:paraId="0704F3FF">
      <w:pPr>
        <w:pStyle w:val="7"/>
        <w:adjustRightInd w:val="0"/>
        <w:snapToGrid w:val="0"/>
        <w:spacing w:beforeAutospacing="0" w:afterAutospacing="0" w:line="590" w:lineRule="exact"/>
        <w:ind w:firstLine="640" w:firstLineChars="200"/>
        <w:jc w:val="both"/>
        <w:rPr>
          <w:rFonts w:ascii="Times New Roman" w:hAnsi="Times New Roman" w:eastAsia="方正仿宋_GBK"/>
          <w:kern w:val="32"/>
          <w:sz w:val="32"/>
          <w:szCs w:val="32"/>
          <w:highlight w:val="none"/>
        </w:rPr>
      </w:pPr>
      <w:r>
        <w:rPr>
          <w:rFonts w:hint="eastAsia" w:ascii="Times New Roman" w:hAnsi="Times New Roman" w:eastAsia="方正仿宋_GBK"/>
          <w:kern w:val="32"/>
          <w:sz w:val="32"/>
          <w:szCs w:val="32"/>
          <w:highlight w:val="none"/>
        </w:rPr>
        <w:t>国家税务总局</w:t>
      </w:r>
      <w:r>
        <w:rPr>
          <w:rFonts w:ascii="Times New Roman" w:hAnsi="Times New Roman" w:eastAsia="方正仿宋_GBK"/>
          <w:kern w:val="32"/>
          <w:sz w:val="32"/>
          <w:szCs w:val="32"/>
          <w:highlight w:val="none"/>
        </w:rPr>
        <w:t>江苏</w:t>
      </w:r>
      <w:r>
        <w:rPr>
          <w:rFonts w:hint="eastAsia" w:ascii="Times New Roman" w:hAnsi="Times New Roman" w:eastAsia="方正仿宋_GBK"/>
          <w:kern w:val="32"/>
          <w:sz w:val="32"/>
          <w:szCs w:val="32"/>
          <w:highlight w:val="none"/>
        </w:rPr>
        <w:t>省</w:t>
      </w:r>
      <w:r>
        <w:rPr>
          <w:rFonts w:ascii="Times New Roman" w:hAnsi="Times New Roman" w:eastAsia="方正仿宋_GBK"/>
          <w:kern w:val="32"/>
          <w:sz w:val="32"/>
          <w:szCs w:val="32"/>
          <w:highlight w:val="none"/>
        </w:rPr>
        <w:t>税务局</w:t>
      </w:r>
      <w:r>
        <w:rPr>
          <w:rFonts w:hint="eastAsia" w:ascii="Times New Roman" w:hAnsi="Times New Roman" w:eastAsia="方正仿宋_GBK"/>
          <w:kern w:val="32"/>
          <w:sz w:val="32"/>
          <w:szCs w:val="32"/>
          <w:highlight w:val="none"/>
        </w:rPr>
        <w:t xml:space="preserve"> </w:t>
      </w:r>
      <w:r>
        <w:rPr>
          <w:rFonts w:ascii="Times New Roman" w:hAnsi="Times New Roman" w:eastAsia="方正仿宋_GBK"/>
          <w:kern w:val="32"/>
          <w:sz w:val="32"/>
          <w:szCs w:val="32"/>
          <w:highlight w:val="none"/>
        </w:rPr>
        <w:t xml:space="preserve"> </w:t>
      </w:r>
      <w:r>
        <w:rPr>
          <w:rFonts w:hint="eastAsia" w:ascii="Times New Roman" w:hAnsi="Times New Roman" w:eastAsia="方正仿宋_GBK"/>
          <w:kern w:val="32"/>
          <w:sz w:val="32"/>
          <w:szCs w:val="32"/>
          <w:highlight w:val="none"/>
        </w:rPr>
        <w:t xml:space="preserve">王苏徽  </w:t>
      </w:r>
      <w:r>
        <w:rPr>
          <w:rFonts w:ascii="Times New Roman" w:hAnsi="Times New Roman" w:eastAsia="方正仿宋_GBK"/>
          <w:kern w:val="32"/>
          <w:sz w:val="32"/>
          <w:szCs w:val="32"/>
          <w:highlight w:val="none"/>
        </w:rPr>
        <w:t xml:space="preserve">   </w:t>
      </w:r>
      <w:r>
        <w:rPr>
          <w:rFonts w:ascii="TimesNewRomanPSMT" w:hAnsi="TimesNewRomanPSMT"/>
          <w:sz w:val="32"/>
          <w:szCs w:val="32"/>
          <w:highlight w:val="none"/>
        </w:rPr>
        <w:t>025-58528807</w:t>
      </w:r>
    </w:p>
    <w:p w14:paraId="3B092117">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p>
    <w:p w14:paraId="5416C9FB">
      <w:pPr>
        <w:pStyle w:val="7"/>
        <w:overflowPunct w:val="0"/>
        <w:adjustRightInd w:val="0"/>
        <w:snapToGrid w:val="0"/>
        <w:spacing w:beforeAutospacing="0" w:afterAutospacing="0" w:line="590" w:lineRule="exact"/>
        <w:ind w:firstLine="640" w:firstLineChars="200"/>
        <w:jc w:val="both"/>
        <w:rPr>
          <w:rFonts w:hint="eastAsia" w:ascii="Times New Roman" w:hAnsi="Times New Roman" w:eastAsia="方正仿宋_GBK"/>
          <w:sz w:val="32"/>
          <w:szCs w:val="32"/>
          <w:lang w:eastAsia="zh-CN"/>
        </w:rPr>
      </w:pPr>
      <w:r>
        <w:rPr>
          <w:rFonts w:ascii="Times New Roman" w:hAnsi="Times New Roman" w:eastAsia="方正仿宋_GBK"/>
          <w:sz w:val="32"/>
          <w:szCs w:val="32"/>
        </w:rPr>
        <w:t xml:space="preserve">附件：1. </w:t>
      </w:r>
      <w:r>
        <w:rPr>
          <w:rFonts w:hint="eastAsia" w:ascii="Times New Roman" w:hAnsi="Times New Roman" w:eastAsia="方正仿宋_GBK"/>
          <w:sz w:val="32"/>
          <w:szCs w:val="32"/>
        </w:rPr>
        <w:t>工业和信息化部 财政部 税务总局关于开展202</w:t>
      </w:r>
      <w:r>
        <w:rPr>
          <w:rFonts w:hint="eastAsia" w:ascii="Times New Roman" w:hAnsi="Times New Roman" w:eastAsia="方正仿宋_GBK"/>
          <w:sz w:val="32"/>
          <w:szCs w:val="32"/>
          <w:lang w:val="en-US" w:eastAsia="zh-CN"/>
        </w:rPr>
        <w:t>6</w:t>
      </w:r>
    </w:p>
    <w:p w14:paraId="4808DBCC">
      <w:pPr>
        <w:pStyle w:val="7"/>
        <w:overflowPunct w:val="0"/>
        <w:adjustRightInd w:val="0"/>
        <w:snapToGrid w:val="0"/>
        <w:spacing w:beforeAutospacing="0" w:afterAutospacing="0" w:line="590" w:lineRule="exact"/>
        <w:ind w:firstLine="2000" w:firstLineChars="625"/>
        <w:jc w:val="both"/>
        <w:rPr>
          <w:rFonts w:ascii="Times New Roman" w:hAnsi="Times New Roman" w:eastAsia="方正仿宋_GBK"/>
          <w:sz w:val="32"/>
          <w:szCs w:val="32"/>
        </w:rPr>
      </w:pPr>
      <w:r>
        <w:rPr>
          <w:rFonts w:hint="eastAsia" w:ascii="Times New Roman" w:hAnsi="Times New Roman" w:eastAsia="方正仿宋_GBK"/>
          <w:sz w:val="32"/>
          <w:szCs w:val="32"/>
        </w:rPr>
        <w:t>年度享受增值税加计抵减政策的工业母机企业清</w:t>
      </w:r>
    </w:p>
    <w:p w14:paraId="731AFF0D">
      <w:pPr>
        <w:pStyle w:val="7"/>
        <w:overflowPunct w:val="0"/>
        <w:adjustRightInd w:val="0"/>
        <w:snapToGrid w:val="0"/>
        <w:spacing w:beforeAutospacing="0" w:afterAutospacing="0" w:line="590" w:lineRule="exact"/>
        <w:ind w:firstLine="2000" w:firstLineChars="625"/>
        <w:jc w:val="both"/>
        <w:rPr>
          <w:rFonts w:ascii="Times New Roman" w:hAnsi="Times New Roman" w:eastAsia="方正仿宋_GBK"/>
          <w:sz w:val="32"/>
          <w:szCs w:val="32"/>
        </w:rPr>
      </w:pPr>
      <w:r>
        <w:rPr>
          <w:rFonts w:hint="eastAsia" w:ascii="Times New Roman" w:hAnsi="Times New Roman" w:eastAsia="方正仿宋_GBK"/>
          <w:sz w:val="32"/>
          <w:szCs w:val="32"/>
        </w:rPr>
        <w:t>单制定工作的通知</w:t>
      </w:r>
    </w:p>
    <w:p w14:paraId="3A0857D4">
      <w:pPr>
        <w:pStyle w:val="7"/>
        <w:overflowPunct w:val="0"/>
        <w:adjustRightInd w:val="0"/>
        <w:snapToGrid w:val="0"/>
        <w:spacing w:beforeAutospacing="0" w:afterAutospacing="0" w:line="590" w:lineRule="exact"/>
        <w:ind w:firstLine="1600" w:firstLineChars="500"/>
        <w:jc w:val="both"/>
        <w:rPr>
          <w:rFonts w:ascii="Times New Roman" w:hAnsi="Times New Roman" w:eastAsia="方正仿宋_GBK"/>
          <w:sz w:val="32"/>
          <w:szCs w:val="32"/>
        </w:rPr>
      </w:pPr>
      <w:r>
        <w:rPr>
          <w:rFonts w:ascii="Times New Roman" w:hAnsi="Times New Roman" w:eastAsia="方正仿宋_GBK"/>
          <w:sz w:val="32"/>
          <w:szCs w:val="32"/>
        </w:rPr>
        <w:t>2. 财税〔2023〕25号文关于适用增值税加计抵减政</w:t>
      </w:r>
    </w:p>
    <w:p w14:paraId="261E7A67">
      <w:pPr>
        <w:pStyle w:val="7"/>
        <w:overflowPunct w:val="0"/>
        <w:adjustRightInd w:val="0"/>
        <w:snapToGrid w:val="0"/>
        <w:spacing w:beforeAutospacing="0" w:afterAutospacing="0" w:line="590" w:lineRule="exact"/>
        <w:ind w:firstLine="2000" w:firstLineChars="625"/>
        <w:jc w:val="both"/>
        <w:rPr>
          <w:rFonts w:ascii="Times New Roman" w:hAnsi="Times New Roman" w:eastAsia="方正仿宋_GBK"/>
          <w:sz w:val="32"/>
          <w:szCs w:val="32"/>
        </w:rPr>
      </w:pPr>
      <w:r>
        <w:rPr>
          <w:rFonts w:ascii="Times New Roman" w:hAnsi="Times New Roman" w:eastAsia="方正仿宋_GBK"/>
          <w:sz w:val="32"/>
          <w:szCs w:val="32"/>
        </w:rPr>
        <w:t>策的工业母机企业条件</w:t>
      </w:r>
    </w:p>
    <w:p w14:paraId="494DC940">
      <w:pPr>
        <w:pStyle w:val="7"/>
        <w:overflowPunct w:val="0"/>
        <w:adjustRightInd w:val="0"/>
        <w:snapToGrid w:val="0"/>
        <w:spacing w:beforeAutospacing="0" w:afterAutospacing="0" w:line="590" w:lineRule="exact"/>
        <w:ind w:firstLine="1600" w:firstLineChars="500"/>
        <w:jc w:val="both"/>
        <w:rPr>
          <w:rFonts w:ascii="Times New Roman" w:hAnsi="Times New Roman" w:eastAsia="方正仿宋_GBK"/>
          <w:sz w:val="32"/>
          <w:szCs w:val="32"/>
        </w:rPr>
      </w:pPr>
      <w:r>
        <w:rPr>
          <w:rFonts w:ascii="Times New Roman" w:hAnsi="Times New Roman" w:eastAsia="方正仿宋_GBK"/>
          <w:sz w:val="32"/>
          <w:szCs w:val="32"/>
        </w:rPr>
        <w:t>3. 先进工业母机产品基本标准</w:t>
      </w:r>
    </w:p>
    <w:p w14:paraId="21AAEFCA">
      <w:pPr>
        <w:pStyle w:val="7"/>
        <w:overflowPunct w:val="0"/>
        <w:adjustRightInd w:val="0"/>
        <w:snapToGrid w:val="0"/>
        <w:spacing w:beforeAutospacing="0" w:afterAutospacing="0" w:line="590" w:lineRule="exact"/>
        <w:ind w:firstLine="1600" w:firstLineChars="500"/>
        <w:jc w:val="both"/>
        <w:rPr>
          <w:rFonts w:ascii="Times New Roman" w:hAnsi="Times New Roman" w:eastAsia="方正仿宋_GBK"/>
          <w:sz w:val="32"/>
          <w:szCs w:val="32"/>
        </w:rPr>
      </w:pPr>
      <w:r>
        <w:rPr>
          <w:rFonts w:ascii="Times New Roman" w:hAnsi="Times New Roman" w:eastAsia="方正仿宋_GBK"/>
          <w:sz w:val="32"/>
          <w:szCs w:val="32"/>
        </w:rPr>
        <w:t xml:space="preserve">4. </w:t>
      </w:r>
      <w:r>
        <w:rPr>
          <w:rFonts w:hint="eastAsia" w:ascii="Times New Roman" w:hAnsi="Times New Roman" w:eastAsia="方正仿宋_GBK"/>
          <w:sz w:val="32"/>
          <w:szCs w:val="32"/>
        </w:rPr>
        <w:t>初审</w:t>
      </w:r>
      <w:r>
        <w:rPr>
          <w:rFonts w:ascii="Times New Roman" w:hAnsi="Times New Roman" w:eastAsia="方正仿宋_GBK"/>
          <w:sz w:val="32"/>
          <w:szCs w:val="32"/>
        </w:rPr>
        <w:t>通过</w:t>
      </w:r>
      <w:r>
        <w:rPr>
          <w:rFonts w:hint="eastAsia" w:ascii="Times New Roman" w:hAnsi="Times New Roman" w:eastAsia="方正仿宋_GBK"/>
          <w:sz w:val="32"/>
          <w:szCs w:val="32"/>
        </w:rPr>
        <w:t>企业</w:t>
      </w:r>
      <w:r>
        <w:rPr>
          <w:rFonts w:ascii="Times New Roman" w:hAnsi="Times New Roman" w:eastAsia="方正仿宋_GBK"/>
          <w:sz w:val="32"/>
          <w:szCs w:val="32"/>
        </w:rPr>
        <w:t>名单</w:t>
      </w:r>
      <w:r>
        <w:rPr>
          <w:rFonts w:hint="eastAsia" w:ascii="Times New Roman" w:hAnsi="Times New Roman" w:eastAsia="方正仿宋_GBK"/>
          <w:sz w:val="32"/>
          <w:szCs w:val="32"/>
        </w:rPr>
        <w:t>汇总表</w:t>
      </w:r>
    </w:p>
    <w:p w14:paraId="780EAD47">
      <w:pPr>
        <w:widowControl/>
        <w:spacing w:line="590" w:lineRule="exact"/>
        <w:ind w:firstLine="0" w:firstLineChars="0"/>
        <w:jc w:val="left"/>
        <w:rPr>
          <w:rFonts w:ascii="Times New Roman" w:hAnsi="Times New Roman" w:eastAsia="方正仿宋_GBK"/>
          <w:kern w:val="0"/>
          <w:sz w:val="32"/>
          <w:szCs w:val="32"/>
        </w:rPr>
        <w:sectPr>
          <w:headerReference r:id="rId7" w:type="first"/>
          <w:footerReference r:id="rId9" w:type="first"/>
          <w:headerReference r:id="rId5" w:type="default"/>
          <w:headerReference r:id="rId6" w:type="even"/>
          <w:footerReference r:id="rId8" w:type="even"/>
          <w:pgSz w:w="11906" w:h="16838"/>
          <w:pgMar w:top="1814" w:right="1531" w:bottom="1985" w:left="1531" w:header="851" w:footer="992" w:gutter="0"/>
          <w:cols w:space="720" w:num="1"/>
          <w:docGrid w:type="lines" w:linePitch="312" w:charSpace="0"/>
        </w:sectPr>
      </w:pPr>
    </w:p>
    <w:p w14:paraId="10112D24">
      <w:pPr>
        <w:adjustRightInd w:val="0"/>
        <w:snapToGrid w:val="0"/>
        <w:spacing w:line="590" w:lineRule="exact"/>
        <w:ind w:left="0" w:leftChars="0" w:firstLine="0" w:firstLineChars="0"/>
        <w:rPr>
          <w:rFonts w:ascii="Times New Roman" w:hAnsi="Times New Roman" w:eastAsia="方正黑体_GBK"/>
          <w:sz w:val="32"/>
          <w:szCs w:val="32"/>
        </w:rPr>
      </w:pPr>
      <w:r>
        <w:rPr>
          <w:rFonts w:ascii="Times New Roman" w:hAnsi="Times New Roman" w:eastAsia="方正黑体_GBK"/>
          <w:sz w:val="32"/>
          <w:szCs w:val="32"/>
        </w:rPr>
        <w:t>附件2</w:t>
      </w:r>
    </w:p>
    <w:p w14:paraId="44C1C54E">
      <w:pPr>
        <w:adjustRightInd w:val="0"/>
        <w:snapToGrid w:val="0"/>
        <w:spacing w:line="590" w:lineRule="exact"/>
        <w:rPr>
          <w:rFonts w:ascii="仿宋_GB2312" w:hAnsi="仿宋_GB2312" w:eastAsia="仿宋_GB2312" w:cs="仿宋_GB2312"/>
          <w:sz w:val="32"/>
          <w:szCs w:val="32"/>
        </w:rPr>
      </w:pPr>
    </w:p>
    <w:p w14:paraId="73091500">
      <w:pPr>
        <w:adjustRightInd w:val="0"/>
        <w:snapToGrid w:val="0"/>
        <w:spacing w:line="59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财税〔2023〕25号文关于适用增值税</w:t>
      </w:r>
    </w:p>
    <w:p w14:paraId="18953A78">
      <w:pPr>
        <w:adjustRightInd w:val="0"/>
        <w:snapToGrid w:val="0"/>
        <w:spacing w:line="59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加计抵减政策的工业母机企业条件</w:t>
      </w:r>
    </w:p>
    <w:p w14:paraId="7D47E7F3">
      <w:pPr>
        <w:adjustRightInd w:val="0"/>
        <w:snapToGrid w:val="0"/>
        <w:spacing w:line="590" w:lineRule="exact"/>
        <w:ind w:firstLine="640" w:firstLineChars="200"/>
        <w:jc w:val="center"/>
        <w:rPr>
          <w:rFonts w:ascii="方正小标宋简体" w:hAnsi="方正小标宋简体" w:eastAsia="方正小标宋简体" w:cs="方正小标宋简体"/>
          <w:sz w:val="32"/>
          <w:szCs w:val="32"/>
        </w:rPr>
      </w:pPr>
    </w:p>
    <w:p w14:paraId="619A5E8B">
      <w:pPr>
        <w:widowControl/>
        <w:shd w:val="clear" w:color="auto" w:fill="FFFFFF"/>
        <w:overflowPunct w:val="0"/>
        <w:adjustRightInd w:val="0"/>
        <w:snapToGrid w:val="0"/>
        <w:spacing w:line="590" w:lineRule="exact"/>
        <w:ind w:firstLine="640" w:firstLineChars="200"/>
        <w:rPr>
          <w:rFonts w:ascii="Times New Roman" w:hAnsi="Times New Roman" w:eastAsia="方正仿宋_GBK"/>
          <w:color w:val="070707"/>
          <w:kern w:val="0"/>
          <w:sz w:val="32"/>
          <w:szCs w:val="32"/>
          <w:lang w:bidi="ar"/>
        </w:rPr>
      </w:pPr>
      <w:r>
        <w:rPr>
          <w:rFonts w:hint="eastAsia" w:ascii="Times New Roman" w:hAnsi="Times New Roman" w:eastAsia="方正仿宋_GBK"/>
          <w:color w:val="070707"/>
          <w:kern w:val="0"/>
          <w:sz w:val="32"/>
          <w:szCs w:val="32"/>
          <w:lang w:bidi="ar"/>
        </w:rPr>
        <w:t>一、自 2023 年 1 月 1 日至 2027 年 12 月 31 日，对生产销售先进工业母机主机、关键功能部件、数控系统（以下称先进工业母机产品）的增值税一般纳税人（以下称工业母机企业），允许按当期可抵扣进项税额加计15%抵减企业应纳增值税税额（以下称加计抵减政策）。上述先进工业母机产品是指符合《先进工业母机产品基本标准》规定的产品。</w:t>
      </w:r>
    </w:p>
    <w:p w14:paraId="6806BEEC">
      <w:pPr>
        <w:widowControl/>
        <w:shd w:val="clear" w:color="auto" w:fill="FFFFFF"/>
        <w:adjustRightInd w:val="0"/>
        <w:snapToGrid w:val="0"/>
        <w:spacing w:line="590" w:lineRule="exact"/>
        <w:ind w:firstLine="640" w:firstLineChars="200"/>
        <w:rPr>
          <w:rFonts w:ascii="Times New Roman" w:hAnsi="Times New Roman" w:eastAsia="方正仿宋_GBK"/>
          <w:color w:val="070707"/>
          <w:kern w:val="0"/>
          <w:sz w:val="32"/>
          <w:szCs w:val="32"/>
          <w:lang w:bidi="ar"/>
        </w:rPr>
      </w:pPr>
      <w:r>
        <w:rPr>
          <w:rFonts w:hint="eastAsia" w:ascii="Times New Roman" w:hAnsi="Times New Roman" w:eastAsia="方正仿宋_GBK"/>
          <w:color w:val="070707"/>
          <w:kern w:val="0"/>
          <w:sz w:val="32"/>
          <w:szCs w:val="32"/>
          <w:lang w:bidi="ar"/>
        </w:rPr>
        <w:t>二、申报加计抵减政策的工业母机企业需同时符合以下条件：</w:t>
      </w:r>
    </w:p>
    <w:p w14:paraId="152EB439">
      <w:pPr>
        <w:widowControl/>
        <w:shd w:val="clear" w:color="auto" w:fill="FFFFFF"/>
        <w:overflowPunct w:val="0"/>
        <w:adjustRightInd w:val="0"/>
        <w:snapToGrid w:val="0"/>
        <w:spacing w:line="590" w:lineRule="exact"/>
        <w:ind w:firstLine="640" w:firstLineChars="200"/>
        <w:rPr>
          <w:rFonts w:ascii="Times New Roman" w:hAnsi="Times New Roman" w:eastAsia="方正仿宋_GBK"/>
          <w:color w:val="070707"/>
          <w:kern w:val="0"/>
          <w:sz w:val="32"/>
          <w:szCs w:val="32"/>
          <w:lang w:bidi="ar"/>
        </w:rPr>
      </w:pPr>
      <w:r>
        <w:rPr>
          <w:rFonts w:hint="eastAsia" w:ascii="Times New Roman" w:hAnsi="Times New Roman" w:eastAsia="方正仿宋_GBK"/>
          <w:color w:val="070707"/>
          <w:kern w:val="0"/>
          <w:sz w:val="32"/>
          <w:szCs w:val="32"/>
          <w:lang w:bidi="ar"/>
        </w:rPr>
        <w:t>（一）申请优惠政策的上一年度，企业具有劳动合同关系或劳务派遣、聘用关系的先进工业母机产品研究开发人员月平均人数占企业月平均职工总数的比例不低于 15%；</w:t>
      </w:r>
    </w:p>
    <w:p w14:paraId="0FC7B036">
      <w:pPr>
        <w:widowControl/>
        <w:shd w:val="clear" w:color="auto" w:fill="FFFFFF"/>
        <w:overflowPunct w:val="0"/>
        <w:adjustRightInd w:val="0"/>
        <w:snapToGrid w:val="0"/>
        <w:spacing w:line="590" w:lineRule="exact"/>
        <w:ind w:firstLine="640" w:firstLineChars="200"/>
        <w:rPr>
          <w:rFonts w:ascii="Times New Roman" w:hAnsi="Times New Roman" w:eastAsia="方正仿宋_GBK"/>
          <w:color w:val="070707"/>
          <w:kern w:val="0"/>
          <w:sz w:val="32"/>
          <w:szCs w:val="32"/>
          <w:lang w:bidi="ar"/>
        </w:rPr>
      </w:pPr>
      <w:r>
        <w:rPr>
          <w:rFonts w:hint="eastAsia" w:ascii="Times New Roman" w:hAnsi="Times New Roman" w:eastAsia="方正仿宋_GBK"/>
          <w:color w:val="070707"/>
          <w:kern w:val="0"/>
          <w:sz w:val="32"/>
          <w:szCs w:val="32"/>
          <w:lang w:bidi="ar"/>
        </w:rPr>
        <w:t>（二）申请优惠政策的上一年度，研究开发费用总额占企业销售（营业）收入（主营业务收入与其他业务收入之和，下同）总额的比例不低于 5%；</w:t>
      </w:r>
    </w:p>
    <w:p w14:paraId="61C79A47">
      <w:pPr>
        <w:widowControl/>
        <w:shd w:val="clear" w:color="auto" w:fill="FFFFFF"/>
        <w:overflowPunct w:val="0"/>
        <w:adjustRightInd w:val="0"/>
        <w:snapToGrid w:val="0"/>
        <w:spacing w:line="590" w:lineRule="exact"/>
        <w:ind w:firstLine="640" w:firstLineChars="200"/>
        <w:rPr>
          <w:rFonts w:hint="eastAsia" w:ascii="Times New Roman" w:hAnsi="Times New Roman" w:eastAsia="方正仿宋_GBK"/>
          <w:color w:val="070707"/>
          <w:kern w:val="0"/>
          <w:sz w:val="32"/>
          <w:szCs w:val="32"/>
          <w:lang w:bidi="ar"/>
        </w:rPr>
        <w:sectPr>
          <w:pgSz w:w="11906" w:h="16838"/>
          <w:pgMar w:top="1814" w:right="1531" w:bottom="1985" w:left="1531" w:header="851" w:footer="992" w:gutter="0"/>
          <w:cols w:space="720" w:num="1"/>
          <w:docGrid w:type="lines" w:linePitch="312" w:charSpace="0"/>
        </w:sectPr>
      </w:pPr>
      <w:r>
        <w:rPr>
          <w:rFonts w:hint="eastAsia" w:ascii="Times New Roman" w:hAnsi="Times New Roman" w:eastAsia="方正仿宋_GBK"/>
          <w:color w:val="070707"/>
          <w:kern w:val="0"/>
          <w:sz w:val="32"/>
          <w:szCs w:val="32"/>
          <w:lang w:bidi="ar"/>
        </w:rPr>
        <w:t>（三）申请优惠政策的上一年度，生产销售本通知规定的先进工业母机产品收入占企业销售（营业）收入总额的比例不低于 60%，且企业收入总额不低于 3000 万元（含）。</w:t>
      </w:r>
    </w:p>
    <w:p w14:paraId="2A232D6C">
      <w:pPr>
        <w:pStyle w:val="7"/>
        <w:overflowPunct w:val="0"/>
        <w:adjustRightInd w:val="0"/>
        <w:snapToGrid w:val="0"/>
        <w:spacing w:beforeAutospacing="0" w:afterAutospacing="0"/>
        <w:rPr>
          <w:rFonts w:ascii="Times New Roman" w:hAnsi="Times New Roman" w:eastAsia="方正黑体_GBK"/>
          <w:sz w:val="32"/>
          <w:szCs w:val="40"/>
        </w:rPr>
      </w:pPr>
      <w:r>
        <w:rPr>
          <w:rFonts w:ascii="Times New Roman" w:hAnsi="Times New Roman" w:eastAsia="方正黑体_GBK"/>
          <w:sz w:val="32"/>
          <w:szCs w:val="40"/>
        </w:rPr>
        <w:t>附件3</w:t>
      </w:r>
    </w:p>
    <w:p w14:paraId="4C416DA6">
      <w:pPr>
        <w:adjustRightInd w:val="0"/>
        <w:snapToGrid w:val="0"/>
        <w:spacing w:line="590" w:lineRule="exact"/>
        <w:ind w:firstLine="0" w:firstLineChars="0"/>
        <w:jc w:val="center"/>
        <w:rPr>
          <w:rFonts w:ascii="Times New Roman" w:hAnsi="Times New Roman" w:eastAsia="黑体"/>
          <w:sz w:val="32"/>
          <w:szCs w:val="40"/>
        </w:rPr>
      </w:pPr>
    </w:p>
    <w:p w14:paraId="3CEAE073">
      <w:pPr>
        <w:shd w:val="clear" w:color="auto" w:fill="FFFFFF"/>
        <w:adjustRightInd w:val="0"/>
        <w:snapToGrid w:val="0"/>
        <w:spacing w:line="590" w:lineRule="exact"/>
        <w:ind w:firstLine="0" w:firstLineChars="0"/>
        <w:jc w:val="center"/>
        <w:rPr>
          <w:rFonts w:ascii="Times New Roman" w:hAnsi="Times New Roman" w:eastAsia="方正小标宋_GBK"/>
          <w:kern w:val="0"/>
          <w:sz w:val="44"/>
          <w:szCs w:val="44"/>
          <w:shd w:val="clear" w:color="auto" w:fill="FFFFFF"/>
        </w:rPr>
      </w:pPr>
      <w:r>
        <w:rPr>
          <w:rFonts w:ascii="Times New Roman" w:hAnsi="Times New Roman" w:eastAsia="方正小标宋_GBK"/>
          <w:kern w:val="0"/>
          <w:sz w:val="44"/>
          <w:szCs w:val="44"/>
          <w:shd w:val="clear" w:color="auto" w:fill="FFFFFF"/>
        </w:rPr>
        <w:t>先进工业母机产品基本标准</w:t>
      </w:r>
    </w:p>
    <w:p w14:paraId="697CE1B0">
      <w:pPr>
        <w:adjustRightInd w:val="0"/>
        <w:snapToGrid w:val="0"/>
        <w:spacing w:line="590" w:lineRule="exact"/>
        <w:ind w:firstLine="0" w:firstLineChars="0"/>
        <w:rPr>
          <w:rFonts w:ascii="Times New Roman" w:hAnsi="Times New Roman"/>
          <w:sz w:val="32"/>
          <w:szCs w:val="32"/>
        </w:rPr>
      </w:pPr>
    </w:p>
    <w:p w14:paraId="27E588B9">
      <w:pPr>
        <w:widowControl/>
        <w:shd w:val="clear" w:color="auto" w:fill="FFFFFF"/>
        <w:adjustRightInd w:val="0"/>
        <w:snapToGrid w:val="0"/>
        <w:spacing w:line="590" w:lineRule="exact"/>
        <w:ind w:firstLine="640"/>
        <w:rPr>
          <w:rFonts w:ascii="方正黑体_GBK" w:hAnsi="Times New Roman" w:eastAsia="方正黑体_GBK"/>
          <w:kern w:val="32"/>
          <w:sz w:val="32"/>
          <w:szCs w:val="32"/>
        </w:rPr>
      </w:pPr>
      <w:r>
        <w:rPr>
          <w:rFonts w:hint="eastAsia" w:ascii="方正黑体_GBK" w:hAnsi="黑体" w:eastAsia="方正黑体_GBK"/>
          <w:kern w:val="32"/>
          <w:sz w:val="32"/>
          <w:szCs w:val="32"/>
        </w:rPr>
        <w:t>一、金属切削机床</w:t>
      </w:r>
    </w:p>
    <w:p w14:paraId="5138518E">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定位精度≤10微米/米，并安装数控系统。</w:t>
      </w:r>
    </w:p>
    <w:p w14:paraId="40BD275F">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二、铸造装备</w:t>
      </w:r>
    </w:p>
    <w:p w14:paraId="2F7A1703">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1．真空熔铸装备：坩埚容量≥50千克。</w:t>
      </w:r>
    </w:p>
    <w:p w14:paraId="239928F2">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2．感应熔炼电炉：熔化量≥10吨。</w:t>
      </w:r>
    </w:p>
    <w:p w14:paraId="37FD7340">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3．粘土砂造型线：静压造型生产线造型效率≥100型/小时,砂箱尺寸1200毫米×1000毫米及以上；垂直造型线造型效率≥400型/小时。</w:t>
      </w:r>
    </w:p>
    <w:p w14:paraId="1243589D">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4．大型自硬砂成套设备：处理能力≥60吨/小时的连续式混砂机，60吨级及以上振实台、起模机。</w:t>
      </w:r>
    </w:p>
    <w:p w14:paraId="5B9ACC60">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5．高压压铸机：合模力≥6000吨。</w:t>
      </w:r>
    </w:p>
    <w:p w14:paraId="2E1AD0F6">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6．挤压铸造成套设备：锁模力≥1000吨。</w:t>
      </w:r>
    </w:p>
    <w:p w14:paraId="20E90415">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7．气力输送铸造废砂再生设备：处理能力30吨/小时以上，旧砂回用率水玻璃砂90%以上、树脂砂94%以上。</w:t>
      </w:r>
    </w:p>
    <w:p w14:paraId="60762117">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三、锻压装备</w:t>
      </w:r>
    </w:p>
    <w:p w14:paraId="578DE41F">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1．数控液压机：公称压力≥1000吨。</w:t>
      </w:r>
    </w:p>
    <w:p w14:paraId="35AAAA1C">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2．数控多连杆机械压力机：公称压力≥1000吨，冲压生产线≥2000吨（总吨位）。</w:t>
      </w:r>
    </w:p>
    <w:p w14:paraId="26958DEF">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3．冷锻机械压力机：公称压力≥630吨。</w:t>
      </w:r>
    </w:p>
    <w:p w14:paraId="698947D4">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4．热模锻压力机：公称压力≥2000吨。</w:t>
      </w:r>
    </w:p>
    <w:p w14:paraId="083AEAE1">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5．热等静压装备：有效热区直径≥1000毫米。</w:t>
      </w:r>
    </w:p>
    <w:p w14:paraId="2BC62A5C">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四、焊接装备</w:t>
      </w:r>
    </w:p>
    <w:p w14:paraId="76B12F7C">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1．数字化弧焊装备：数控系统跟踪补偿精度0.1毫米-0.5毫米、焊接工艺参数波动小于2%-5%。</w:t>
      </w:r>
    </w:p>
    <w:p w14:paraId="4A1263E1">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2．激光、电子束等高能束焊接装备：机电协同控制精度1%、跟踪补偿精度0.1毫米-0.5毫米、焊接工艺参数波动小于2%。</w:t>
      </w:r>
    </w:p>
    <w:p w14:paraId="018F9056">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3．惯性、搅拌摩擦焊及电阻焊装备：机电协同控制精度1%、响应速度5毫秒-10毫秒；数控系统跟踪补偿精度0.05毫米-0.1毫米。</w:t>
      </w:r>
    </w:p>
    <w:p w14:paraId="12B4EB3C">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五、热表处理装备</w:t>
      </w:r>
    </w:p>
    <w:p w14:paraId="5D6A1F2A">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1．真空热处理装备：装炉量≥1吨。</w:t>
      </w:r>
    </w:p>
    <w:p w14:paraId="08F38EB3">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2．控制气氛热处理装备：装炉量≥1吨。</w:t>
      </w:r>
    </w:p>
    <w:p w14:paraId="1369E5D8">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3．绝缘栅双极型晶体管电源感应热处理装备。</w:t>
      </w:r>
    </w:p>
    <w:p w14:paraId="477988AB">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4．连续热处理生产线：生产能力≥1吨/小时。</w:t>
      </w:r>
    </w:p>
    <w:p w14:paraId="17FDECD0">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5．自动电镀设备：行车上自带独立控制箱和主可编程逻辑控制器网络通信，具备四轴运动能力。</w:t>
      </w:r>
    </w:p>
    <w:p w14:paraId="7D1F56C6">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6．低压等离子喷涂设备：真空室尺寸≥Ф2000毫米×3000毫米,喷枪使用功率≥80千瓦。</w:t>
      </w:r>
    </w:p>
    <w:p w14:paraId="472E0603">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7．溶液等离子喷涂设备：喷枪使用功率≥100千瓦,浆料输送率≥0.5升/分。</w:t>
      </w:r>
    </w:p>
    <w:p w14:paraId="7A2050AE">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8．真空镀膜装备：膜层不均匀性≤±10%，故障诊断节点数≥1000。</w:t>
      </w:r>
    </w:p>
    <w:p w14:paraId="4A86DA8C">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六、数控装置</w:t>
      </w:r>
    </w:p>
    <w:p w14:paraId="2FC1CDB6">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具备三轴及以上联动控制功能。</w:t>
      </w:r>
    </w:p>
    <w:p w14:paraId="2B6672CF">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七、滚动功能部件（丝杠/导轨）</w:t>
      </w:r>
    </w:p>
    <w:p w14:paraId="086092A1">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P3精度以上。</w:t>
      </w:r>
    </w:p>
    <w:p w14:paraId="7D91C624">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八、电主轴</w:t>
      </w:r>
    </w:p>
    <w:p w14:paraId="70F913D6">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动态回转精度≤10微米。</w:t>
      </w:r>
    </w:p>
    <w:p w14:paraId="29A25970">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九、数控转台</w:t>
      </w:r>
    </w:p>
    <w:p w14:paraId="59DF0B81">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定位精度≤15″。</w:t>
      </w:r>
    </w:p>
    <w:p w14:paraId="6A10F6DF">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十、位置反馈元件（光栅尺/编码器）</w:t>
      </w:r>
    </w:p>
    <w:p w14:paraId="0E0406E5">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直线准确度≤±3微米；旋转准确度≤±2.5″。</w:t>
      </w:r>
    </w:p>
    <w:p w14:paraId="3FA371D8">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十一、摆角头</w:t>
      </w:r>
    </w:p>
    <w:p w14:paraId="5AF8D1ED">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定位精度≤15″。</w:t>
      </w:r>
    </w:p>
    <w:p w14:paraId="5BE518A0">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十二、动力刀架/刀库</w:t>
      </w:r>
    </w:p>
    <w:p w14:paraId="7613CE3B">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分度精度≤±6″，换刀时间（T-T）≤2.5秒。</w:t>
      </w:r>
    </w:p>
    <w:p w14:paraId="1F4AF5E7">
      <w:pPr>
        <w:widowControl/>
        <w:shd w:val="clear" w:color="auto" w:fill="FFFFFF"/>
        <w:adjustRightInd w:val="0"/>
        <w:snapToGrid w:val="0"/>
        <w:spacing w:line="590" w:lineRule="exact"/>
        <w:ind w:firstLine="640"/>
        <w:rPr>
          <w:rFonts w:ascii="方正黑体_GBK" w:hAnsi="黑体" w:eastAsia="方正黑体_GBK"/>
          <w:kern w:val="32"/>
          <w:sz w:val="32"/>
          <w:szCs w:val="32"/>
        </w:rPr>
      </w:pPr>
      <w:r>
        <w:rPr>
          <w:rFonts w:ascii="方正黑体_GBK" w:hAnsi="黑体" w:eastAsia="方正黑体_GBK"/>
          <w:kern w:val="32"/>
          <w:sz w:val="32"/>
          <w:szCs w:val="32"/>
        </w:rPr>
        <w:t>十三、真空系统</w:t>
      </w:r>
    </w:p>
    <w:p w14:paraId="66B687BB">
      <w:pPr>
        <w:widowControl/>
        <w:shd w:val="clear" w:color="auto" w:fill="FFFFFF"/>
        <w:adjustRightInd w:val="0"/>
        <w:snapToGrid w:val="0"/>
        <w:spacing w:line="590" w:lineRule="exact"/>
        <w:ind w:firstLine="640"/>
        <w:rPr>
          <w:rFonts w:ascii="Times New Roman" w:hAnsi="Times New Roman" w:eastAsia="方正仿宋_GBK"/>
          <w:kern w:val="32"/>
          <w:sz w:val="32"/>
          <w:szCs w:val="32"/>
        </w:rPr>
      </w:pPr>
      <w:r>
        <w:rPr>
          <w:rFonts w:ascii="Times New Roman" w:hAnsi="Times New Roman" w:eastAsia="方正仿宋_GBK"/>
          <w:kern w:val="32"/>
          <w:sz w:val="32"/>
          <w:szCs w:val="32"/>
        </w:rPr>
        <w:t>1．镀膜机：整机漏率达到1.0×10</w:t>
      </w:r>
      <w:r>
        <w:rPr>
          <w:rFonts w:ascii="Times New Roman" w:hAnsi="Times New Roman" w:eastAsia="方正仿宋_GBK"/>
          <w:kern w:val="32"/>
          <w:sz w:val="32"/>
          <w:szCs w:val="32"/>
          <w:vertAlign w:val="superscript"/>
        </w:rPr>
        <w:t>-8</w:t>
      </w:r>
      <w:r>
        <w:rPr>
          <w:rFonts w:ascii="Times New Roman" w:hAnsi="Times New Roman" w:eastAsia="方正仿宋_GBK"/>
          <w:kern w:val="32"/>
          <w:sz w:val="32"/>
          <w:szCs w:val="32"/>
        </w:rPr>
        <w:t>Pa·L/s量级，工作真空度保持时间≥6个月。</w:t>
      </w:r>
    </w:p>
    <w:p w14:paraId="5B7D76AD">
      <w:pPr>
        <w:pStyle w:val="7"/>
        <w:overflowPunct w:val="0"/>
        <w:adjustRightInd w:val="0"/>
        <w:snapToGrid w:val="0"/>
        <w:spacing w:beforeAutospacing="0" w:afterAutospacing="0" w:line="590" w:lineRule="exact"/>
        <w:ind w:firstLine="640" w:firstLineChars="200"/>
        <w:jc w:val="both"/>
        <w:rPr>
          <w:rFonts w:ascii="Times New Roman" w:hAnsi="Times New Roman" w:eastAsia="方正仿宋_GBK"/>
          <w:sz w:val="32"/>
          <w:szCs w:val="32"/>
        </w:rPr>
      </w:pPr>
      <w:r>
        <w:rPr>
          <w:rFonts w:ascii="Times New Roman" w:hAnsi="Times New Roman" w:eastAsia="方正仿宋_GBK"/>
          <w:kern w:val="32"/>
          <w:sz w:val="32"/>
          <w:szCs w:val="32"/>
        </w:rPr>
        <w:t>2．工业炉：漏率达到1.0×10</w:t>
      </w:r>
      <w:r>
        <w:rPr>
          <w:rFonts w:ascii="Times New Roman" w:hAnsi="Times New Roman" w:eastAsia="方正仿宋_GBK"/>
          <w:kern w:val="32"/>
          <w:sz w:val="32"/>
          <w:szCs w:val="32"/>
          <w:vertAlign w:val="superscript"/>
        </w:rPr>
        <w:t>-7</w:t>
      </w:r>
      <w:r>
        <w:rPr>
          <w:rFonts w:ascii="Times New Roman" w:hAnsi="Times New Roman" w:eastAsia="方正仿宋_GBK"/>
          <w:kern w:val="32"/>
          <w:sz w:val="32"/>
          <w:szCs w:val="32"/>
        </w:rPr>
        <w:t>Pa·L/s量级，工作真空度保持时间≥6个月。</w:t>
      </w:r>
    </w:p>
    <w:p w14:paraId="1CE5398B">
      <w:pPr>
        <w:widowControl/>
        <w:spacing w:line="590" w:lineRule="exact"/>
        <w:ind w:firstLine="0" w:firstLineChars="0"/>
        <w:jc w:val="left"/>
        <w:rPr>
          <w:rFonts w:ascii="Times New Roman" w:hAnsi="Times New Roman" w:eastAsia="方正仿宋_GBK"/>
          <w:kern w:val="0"/>
          <w:sz w:val="32"/>
          <w:szCs w:val="32"/>
        </w:rPr>
        <w:sectPr>
          <w:pgSz w:w="11906" w:h="16838"/>
          <w:pgMar w:top="1814" w:right="1531" w:bottom="1985" w:left="1531" w:header="851" w:footer="992" w:gutter="0"/>
          <w:cols w:space="720" w:num="1"/>
          <w:docGrid w:type="lines" w:linePitch="312" w:charSpace="0"/>
        </w:sectPr>
      </w:pPr>
    </w:p>
    <w:p w14:paraId="5A6AFE3B">
      <w:pPr>
        <w:pStyle w:val="7"/>
        <w:overflowPunct w:val="0"/>
        <w:adjustRightInd w:val="0"/>
        <w:snapToGrid w:val="0"/>
        <w:spacing w:beforeAutospacing="0" w:afterAutospacing="0"/>
        <w:rPr>
          <w:rFonts w:hint="eastAsia" w:ascii="Times New Roman" w:hAnsi="Times New Roman" w:eastAsia="方正黑体_GBK"/>
          <w:sz w:val="32"/>
          <w:szCs w:val="40"/>
          <w:lang w:eastAsia="zh-CN"/>
        </w:rPr>
      </w:pPr>
      <w:r>
        <w:rPr>
          <w:rFonts w:ascii="Times New Roman" w:hAnsi="Times New Roman" w:eastAsia="方正黑体_GBK"/>
          <w:sz w:val="32"/>
          <w:szCs w:val="40"/>
        </w:rPr>
        <w:t>附件</w:t>
      </w:r>
      <w:r>
        <w:rPr>
          <w:rFonts w:hint="eastAsia" w:ascii="Times New Roman" w:hAnsi="Times New Roman" w:eastAsia="方正黑体_GBK"/>
          <w:sz w:val="32"/>
          <w:szCs w:val="40"/>
          <w:lang w:val="en-US" w:eastAsia="zh-CN"/>
        </w:rPr>
        <w:t>4</w:t>
      </w:r>
    </w:p>
    <w:p w14:paraId="3CA95894">
      <w:pPr>
        <w:widowControl/>
        <w:spacing w:line="590" w:lineRule="exact"/>
        <w:ind w:firstLine="0" w:firstLineChars="0"/>
        <w:jc w:val="both"/>
        <w:rPr>
          <w:rFonts w:hint="eastAsia" w:ascii="方正小标宋_GBK" w:hAnsi="方正小标宋_GBK" w:eastAsia="方正小标宋_GBK" w:cs="方正小标宋_GBK"/>
          <w:i w:val="0"/>
          <w:iCs w:val="0"/>
          <w:color w:val="000000"/>
          <w:kern w:val="0"/>
          <w:sz w:val="40"/>
          <w:szCs w:val="40"/>
          <w:u w:val="none"/>
          <w:lang w:val="en-US" w:eastAsia="zh-CN" w:bidi="ar"/>
        </w:rPr>
      </w:pPr>
    </w:p>
    <w:p w14:paraId="32F3A12F">
      <w:pPr>
        <w:widowControl/>
        <w:spacing w:line="590" w:lineRule="exact"/>
        <w:ind w:firstLine="0" w:firstLineChars="0"/>
        <w:jc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i w:val="0"/>
          <w:iCs w:val="0"/>
          <w:color w:val="000000"/>
          <w:kern w:val="0"/>
          <w:sz w:val="40"/>
          <w:szCs w:val="40"/>
          <w:u w:val="none"/>
          <w:lang w:val="en-US" w:eastAsia="zh-CN" w:bidi="ar"/>
        </w:rPr>
        <w:t>2026年度享受增值税加计抵减政策的工业母机企业申报汇总表</w:t>
      </w:r>
    </w:p>
    <w:p w14:paraId="0DC45FCC">
      <w:pPr>
        <w:widowControl/>
        <w:spacing w:line="590" w:lineRule="exact"/>
        <w:ind w:firstLine="0" w:firstLineChars="0"/>
        <w:jc w:val="left"/>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推荐单位：（盖章）                                                          单位（万元、人）</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673"/>
        <w:gridCol w:w="893"/>
        <w:gridCol w:w="883"/>
        <w:gridCol w:w="944"/>
        <w:gridCol w:w="885"/>
        <w:gridCol w:w="885"/>
        <w:gridCol w:w="885"/>
        <w:gridCol w:w="885"/>
        <w:gridCol w:w="885"/>
        <w:gridCol w:w="885"/>
        <w:gridCol w:w="886"/>
        <w:gridCol w:w="886"/>
        <w:gridCol w:w="886"/>
        <w:gridCol w:w="1024"/>
      </w:tblGrid>
      <w:tr w14:paraId="2A2B2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CA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7"/>
                <w:lang w:val="en-US" w:eastAsia="zh-CN" w:bidi="ar"/>
              </w:rPr>
              <w:t>序号</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2F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7"/>
                <w:lang w:val="en-US" w:eastAsia="zh-CN" w:bidi="ar"/>
              </w:rPr>
              <w:t>地区</w:t>
            </w: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C32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7"/>
                <w:lang w:val="en-US" w:eastAsia="zh-CN" w:bidi="ar"/>
              </w:rPr>
              <w:t>企业名称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26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所属领域序号</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A21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符合条件的产品名称</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（逐一列出）</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984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员工总数</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D2E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先进工业母机研发人员数</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B3B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年度研发人员月平均人数占比</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FB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年企业销售（营业）收入总额</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035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年度研究开发费用总额</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88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年度研发费用占比</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2E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年度先进工业母机产品收入</w:t>
            </w:r>
          </w:p>
        </w:tc>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E01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2025</w:t>
            </w:r>
            <w:r>
              <w:rPr>
                <w:rStyle w:val="17"/>
                <w:lang w:val="en-US" w:eastAsia="zh-CN" w:bidi="ar"/>
              </w:rPr>
              <w:t>年度先进工业母机产品收入占比</w:t>
            </w:r>
          </w:p>
        </w:tc>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1485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方正黑体_GBK" w:hAnsi="方正黑体_GBK" w:eastAsia="方正黑体_GBK" w:cs="方正黑体_GBK"/>
                <w:i w:val="0"/>
                <w:iCs w:val="0"/>
                <w:color w:val="000000"/>
                <w:sz w:val="24"/>
                <w:szCs w:val="24"/>
                <w:u w:val="none"/>
              </w:rPr>
            </w:pPr>
            <w:r>
              <w:rPr>
                <w:rStyle w:val="19"/>
                <w:lang w:val="en-US" w:eastAsia="zh-CN" w:bidi="ar"/>
              </w:rPr>
              <w:t>是否已列入</w:t>
            </w:r>
            <w:r>
              <w:rPr>
                <w:rStyle w:val="18"/>
                <w:rFonts w:eastAsia="方正黑体_GBK"/>
                <w:lang w:val="en-US" w:eastAsia="zh-CN" w:bidi="ar"/>
              </w:rPr>
              <w:t>2025</w:t>
            </w:r>
            <w:r>
              <w:rPr>
                <w:rStyle w:val="19"/>
                <w:lang w:val="en-US" w:eastAsia="zh-CN" w:bidi="ar"/>
              </w:rPr>
              <w:t>年清单</w:t>
            </w:r>
          </w:p>
        </w:tc>
        <w:tc>
          <w:tcPr>
            <w:tcW w:w="3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EA1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17"/>
                <w:lang w:val="en-US" w:eastAsia="zh-CN" w:bidi="ar"/>
              </w:rPr>
              <w:t>提交材料情况（清单</w:t>
            </w:r>
            <w:r>
              <w:rPr>
                <w:rStyle w:val="18"/>
                <w:rFonts w:eastAsia="宋体"/>
                <w:lang w:val="en-US" w:eastAsia="zh-CN" w:bidi="ar"/>
              </w:rPr>
              <w:t>1-9</w:t>
            </w:r>
            <w:r>
              <w:rPr>
                <w:rStyle w:val="17"/>
                <w:lang w:val="en-US" w:eastAsia="zh-CN" w:bidi="ar"/>
              </w:rPr>
              <w:t>）</w:t>
            </w:r>
          </w:p>
        </w:tc>
      </w:tr>
      <w:tr w14:paraId="18442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B6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20"/>
                <w:lang w:val="en-US" w:eastAsia="zh-CN" w:bidi="ar"/>
              </w:rPr>
              <w:t>示例</w:t>
            </w:r>
            <w:r>
              <w:rPr>
                <w:rStyle w:val="21"/>
                <w:rFonts w:eastAsia="宋体"/>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10AAE">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11C6">
            <w:pPr>
              <w:keepNext w:val="0"/>
              <w:keepLines w:val="0"/>
              <w:pageBreakBefore w:val="0"/>
              <w:widowControl/>
              <w:kinsoku/>
              <w:wordWrap/>
              <w:overflowPunct/>
              <w:topLinePunct w:val="0"/>
              <w:autoSpaceDE/>
              <w:autoSpaceDN/>
              <w:bidi w:val="0"/>
              <w:adjustRightInd/>
              <w:snapToGrid/>
              <w:ind w:firstLine="0" w:firstLineChars="0"/>
              <w:jc w:val="both"/>
              <w:rPr>
                <w:rFonts w:hint="default" w:ascii="Times New Roman" w:hAnsi="Times New Roman" w:eastAsia="宋体" w:cs="Times New Roman"/>
                <w:i w:val="0"/>
                <w:iCs w:val="0"/>
                <w:color w:val="000000"/>
                <w:sz w:val="24"/>
                <w:szCs w:val="24"/>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9B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22"/>
                <w:lang w:val="en-US" w:eastAsia="zh-CN" w:bidi="ar"/>
              </w:rPr>
              <w:t>四</w:t>
            </w:r>
            <w:r>
              <w:rPr>
                <w:rStyle w:val="18"/>
                <w:rFonts w:eastAsia="宋体"/>
                <w:lang w:val="en-US" w:eastAsia="zh-CN" w:bidi="ar"/>
              </w:rPr>
              <w:t>-2</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B40B0">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激光焊接设备</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BE7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169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D4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19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854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AD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99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6000</w:t>
            </w: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9E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5F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Style w:val="23"/>
                <w:lang w:val="en-US" w:eastAsia="zh-CN" w:bidi="ar"/>
              </w:rPr>
              <w:t>是</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FC3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iCs w:val="0"/>
                <w:color w:val="000000"/>
                <w:sz w:val="24"/>
                <w:szCs w:val="24"/>
                <w:u w:val="none"/>
              </w:rPr>
            </w:pPr>
            <w:r>
              <w:rPr>
                <w:rStyle w:val="18"/>
                <w:rFonts w:eastAsia="宋体"/>
                <w:lang w:val="en-US" w:eastAsia="zh-CN" w:bidi="ar"/>
              </w:rPr>
              <w:t>2</w:t>
            </w:r>
            <w:r>
              <w:rPr>
                <w:rStyle w:val="24"/>
                <w:lang w:val="en-US" w:eastAsia="zh-CN" w:bidi="ar"/>
              </w:rPr>
              <w:t>、</w:t>
            </w:r>
            <w:r>
              <w:rPr>
                <w:rStyle w:val="18"/>
                <w:rFonts w:eastAsia="宋体"/>
                <w:lang w:val="en-US" w:eastAsia="zh-CN" w:bidi="ar"/>
              </w:rPr>
              <w:t>3</w:t>
            </w:r>
            <w:r>
              <w:rPr>
                <w:rStyle w:val="24"/>
                <w:lang w:val="en-US" w:eastAsia="zh-CN" w:bidi="ar"/>
              </w:rPr>
              <w:t>、</w:t>
            </w:r>
            <w:r>
              <w:rPr>
                <w:rStyle w:val="18"/>
                <w:rFonts w:eastAsia="宋体"/>
                <w:lang w:val="en-US" w:eastAsia="zh-CN" w:bidi="ar"/>
              </w:rPr>
              <w:t>6</w:t>
            </w:r>
            <w:r>
              <w:rPr>
                <w:rStyle w:val="24"/>
                <w:lang w:val="en-US" w:eastAsia="zh-CN" w:bidi="ar"/>
              </w:rPr>
              <w:t>、</w:t>
            </w:r>
            <w:r>
              <w:rPr>
                <w:rStyle w:val="18"/>
                <w:rFonts w:eastAsia="宋体"/>
                <w:lang w:val="en-US" w:eastAsia="zh-CN" w:bidi="ar"/>
              </w:rPr>
              <w:t>8</w:t>
            </w:r>
            <w:r>
              <w:rPr>
                <w:rStyle w:val="24"/>
                <w:lang w:val="en-US" w:eastAsia="zh-CN" w:bidi="ar"/>
              </w:rPr>
              <w:t>、</w:t>
            </w:r>
            <w:r>
              <w:rPr>
                <w:rStyle w:val="18"/>
                <w:rFonts w:eastAsia="宋体"/>
                <w:lang w:val="en-US" w:eastAsia="zh-CN" w:bidi="ar"/>
              </w:rPr>
              <w:t>9</w:t>
            </w:r>
          </w:p>
        </w:tc>
      </w:tr>
      <w:tr w14:paraId="426C4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42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20"/>
                <w:lang w:val="en-US" w:eastAsia="zh-CN" w:bidi="ar"/>
              </w:rPr>
              <w:t>示例</w:t>
            </w:r>
            <w:r>
              <w:rPr>
                <w:rStyle w:val="21"/>
                <w:rFonts w:eastAsia="宋体"/>
                <w:lang w:val="en-US" w:eastAsia="zh-CN" w:bidi="ar"/>
              </w:rPr>
              <w:t>2</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96E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76553F">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c>
          <w:tcPr>
            <w:tcW w:w="3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20B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E490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卧式加工中心</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BFC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95B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12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957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10000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6CB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8A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EAFF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22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60.0%</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272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否</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0B5B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r>
      <w:tr w14:paraId="1E7B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BF5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5FC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FAC19">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c>
          <w:tcPr>
            <w:tcW w:w="3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F0200">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EC62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立式加工中心</w:t>
            </w: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7E58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577E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0F2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5DF4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C064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052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345F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6C3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6950">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5E809">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r>
      <w:tr w14:paraId="1E24F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B213">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CC2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525BE9">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6BF9F">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538CE">
            <w:pPr>
              <w:keepNext w:val="0"/>
              <w:keepLines w:val="0"/>
              <w:pageBreakBefore w:val="0"/>
              <w:widowControl/>
              <w:kinsoku/>
              <w:wordWrap/>
              <w:overflowPunct/>
              <w:topLinePunct w:val="0"/>
              <w:autoSpaceDE/>
              <w:autoSpaceDN/>
              <w:bidi w:val="0"/>
              <w:adjustRightInd/>
              <w:snapToGrid/>
              <w:ind w:firstLine="0" w:firstLineChars="0"/>
              <w:jc w:val="left"/>
              <w:rPr>
                <w:rFonts w:hint="eastAsia" w:ascii="方正仿宋_GBK" w:hAnsi="方正仿宋_GBK" w:eastAsia="方正仿宋_GBK" w:cs="方正仿宋_GBK"/>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31FC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367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8C5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04A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C1E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C66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E58A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C63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7600">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A57B">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r>
      <w:tr w14:paraId="67CC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97F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47F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C684E3">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0EF1">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6C886">
            <w:pPr>
              <w:keepNext w:val="0"/>
              <w:keepLines w:val="0"/>
              <w:pageBreakBefore w:val="0"/>
              <w:widowControl/>
              <w:kinsoku/>
              <w:wordWrap/>
              <w:overflowPunct/>
              <w:topLinePunct w:val="0"/>
              <w:autoSpaceDE/>
              <w:autoSpaceDN/>
              <w:bidi w:val="0"/>
              <w:adjustRightInd/>
              <w:snapToGrid/>
              <w:ind w:firstLine="0" w:firstLineChars="0"/>
              <w:jc w:val="left"/>
              <w:rPr>
                <w:rFonts w:hint="eastAsia" w:ascii="方正仿宋_GBK" w:hAnsi="方正仿宋_GBK" w:eastAsia="方正仿宋_GBK" w:cs="方正仿宋_GBK"/>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BE4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F77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D394">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8802">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2F2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ACB1">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901B">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323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i w:val="0"/>
                <w:iCs w:val="0"/>
                <w:color w:val="000000"/>
                <w:sz w:val="24"/>
                <w:szCs w:val="24"/>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5FEE">
            <w:pPr>
              <w:keepNext w:val="0"/>
              <w:keepLines w:val="0"/>
              <w:pageBreakBefore w:val="0"/>
              <w:widowControl/>
              <w:kinsoku/>
              <w:wordWrap/>
              <w:overflowPunct/>
              <w:topLinePunct w:val="0"/>
              <w:autoSpaceDE/>
              <w:autoSpaceDN/>
              <w:bidi w:val="0"/>
              <w:adjustRightInd/>
              <w:snapToGrid/>
              <w:ind w:firstLine="0" w:firstLineChars="0"/>
              <w:jc w:val="center"/>
              <w:rPr>
                <w:rFonts w:hint="eastAsia" w:ascii="方正仿宋_GBK" w:hAnsi="方正仿宋_GBK" w:eastAsia="方正仿宋_GBK" w:cs="方正仿宋_GBK"/>
                <w:i w:val="0"/>
                <w:iCs w:val="0"/>
                <w:color w:val="000000"/>
                <w:sz w:val="24"/>
                <w:szCs w:val="24"/>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F67AF">
            <w:pPr>
              <w:keepNext w:val="0"/>
              <w:keepLines w:val="0"/>
              <w:pageBreakBefore w:val="0"/>
              <w:widowControl/>
              <w:kinsoku/>
              <w:wordWrap/>
              <w:overflowPunct/>
              <w:topLinePunct w:val="0"/>
              <w:autoSpaceDE/>
              <w:autoSpaceDN/>
              <w:bidi w:val="0"/>
              <w:adjustRightInd/>
              <w:snapToGrid/>
              <w:ind w:firstLine="0" w:firstLineChars="0"/>
              <w:jc w:val="left"/>
              <w:rPr>
                <w:rFonts w:hint="default" w:ascii="Times New Roman" w:hAnsi="Times New Roman" w:eastAsia="宋体" w:cs="Times New Roman"/>
                <w:i w:val="0"/>
                <w:iCs w:val="0"/>
                <w:color w:val="000000"/>
                <w:sz w:val="24"/>
                <w:szCs w:val="24"/>
                <w:u w:val="none"/>
              </w:rPr>
            </w:pPr>
          </w:p>
        </w:tc>
      </w:tr>
      <w:tr w14:paraId="71D27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0" w:hRule="atLeast"/>
        </w:trPr>
        <w:tc>
          <w:tcPr>
            <w:tcW w:w="5000" w:type="pct"/>
            <w:gridSpan w:val="15"/>
            <w:tcBorders>
              <w:top w:val="nil"/>
              <w:left w:val="nil"/>
              <w:bottom w:val="nil"/>
              <w:right w:val="nil"/>
            </w:tcBorders>
            <w:shd w:val="clear" w:color="auto" w:fill="auto"/>
            <w:vAlign w:val="center"/>
          </w:tcPr>
          <w:p w14:paraId="45E26D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25"/>
                <w:lang w:val="en-US" w:eastAsia="zh-CN" w:bidi="ar"/>
              </w:rPr>
              <w:t>备注：</w:t>
            </w:r>
            <w:r>
              <w:rPr>
                <w:rStyle w:val="26"/>
                <w:rFonts w:eastAsia="宋体"/>
                <w:lang w:val="en-US" w:eastAsia="zh-CN" w:bidi="ar"/>
              </w:rPr>
              <w:t>1.</w:t>
            </w:r>
            <w:r>
              <w:rPr>
                <w:rStyle w:val="25"/>
                <w:lang w:val="en-US" w:eastAsia="zh-CN" w:bidi="ar"/>
              </w:rPr>
              <w:t>所属领域序号对照先进工业母机产品基本标准填写，例如：一、二</w:t>
            </w:r>
            <w:r>
              <w:rPr>
                <w:rStyle w:val="26"/>
                <w:rFonts w:eastAsia="宋体"/>
                <w:lang w:val="en-US" w:eastAsia="zh-CN" w:bidi="ar"/>
              </w:rPr>
              <w:t>-1</w:t>
            </w:r>
            <w:r>
              <w:rPr>
                <w:rStyle w:val="25"/>
                <w:lang w:val="en-US" w:eastAsia="zh-CN" w:bidi="ar"/>
              </w:rPr>
              <w:t>。</w:t>
            </w:r>
            <w:r>
              <w:rPr>
                <w:rStyle w:val="26"/>
                <w:rFonts w:eastAsia="宋体"/>
                <w:lang w:val="en-US" w:eastAsia="zh-CN" w:bidi="ar"/>
              </w:rPr>
              <w:br w:type="textWrapping"/>
            </w:r>
            <w:r>
              <w:rPr>
                <w:rStyle w:val="26"/>
                <w:rFonts w:eastAsia="宋体"/>
                <w:lang w:val="en-US" w:eastAsia="zh-CN" w:bidi="ar"/>
              </w:rPr>
              <w:t xml:space="preserve">            2.</w:t>
            </w:r>
            <w:r>
              <w:rPr>
                <w:rStyle w:val="25"/>
                <w:lang w:val="en-US" w:eastAsia="zh-CN" w:bidi="ar"/>
              </w:rPr>
              <w:t>符合条件的产品名称须逐一列出。</w:t>
            </w:r>
            <w:r>
              <w:rPr>
                <w:rStyle w:val="25"/>
                <w:lang w:val="en-US" w:eastAsia="zh-CN" w:bidi="ar"/>
              </w:rPr>
              <w:br w:type="textWrapping"/>
            </w:r>
            <w:r>
              <w:rPr>
                <w:rStyle w:val="26"/>
                <w:rFonts w:eastAsia="宋体"/>
                <w:lang w:val="en-US" w:eastAsia="zh-CN" w:bidi="ar"/>
              </w:rPr>
              <w:t xml:space="preserve">            3.</w:t>
            </w:r>
            <w:r>
              <w:rPr>
                <w:rStyle w:val="25"/>
                <w:lang w:val="en-US" w:eastAsia="zh-CN" w:bidi="ar"/>
              </w:rPr>
              <w:t>已列入</w:t>
            </w:r>
            <w:r>
              <w:rPr>
                <w:rStyle w:val="26"/>
                <w:rFonts w:eastAsia="宋体"/>
                <w:lang w:val="en-US" w:eastAsia="zh-CN" w:bidi="ar"/>
              </w:rPr>
              <w:t>2025</w:t>
            </w:r>
            <w:r>
              <w:rPr>
                <w:rStyle w:val="25"/>
                <w:lang w:val="en-US" w:eastAsia="zh-CN" w:bidi="ar"/>
              </w:rPr>
              <w:t>年清单的企业，需提供材料清单中</w:t>
            </w:r>
            <w:r>
              <w:rPr>
                <w:rStyle w:val="26"/>
                <w:rFonts w:eastAsia="宋体"/>
                <w:lang w:val="en-US" w:eastAsia="zh-CN" w:bidi="ar"/>
              </w:rPr>
              <w:t>2</w:t>
            </w:r>
            <w:r>
              <w:rPr>
                <w:rStyle w:val="25"/>
                <w:lang w:val="en-US" w:eastAsia="zh-CN" w:bidi="ar"/>
              </w:rPr>
              <w:t>、</w:t>
            </w:r>
            <w:r>
              <w:rPr>
                <w:rStyle w:val="26"/>
                <w:rFonts w:eastAsia="宋体"/>
                <w:lang w:val="en-US" w:eastAsia="zh-CN" w:bidi="ar"/>
              </w:rPr>
              <w:t>3</w:t>
            </w:r>
            <w:r>
              <w:rPr>
                <w:rStyle w:val="25"/>
                <w:lang w:val="en-US" w:eastAsia="zh-CN" w:bidi="ar"/>
              </w:rPr>
              <w:t>、</w:t>
            </w:r>
            <w:r>
              <w:rPr>
                <w:rStyle w:val="26"/>
                <w:rFonts w:eastAsia="宋体"/>
                <w:lang w:val="en-US" w:eastAsia="zh-CN" w:bidi="ar"/>
              </w:rPr>
              <w:t>6</w:t>
            </w:r>
            <w:r>
              <w:rPr>
                <w:rStyle w:val="25"/>
                <w:lang w:val="en-US" w:eastAsia="zh-CN" w:bidi="ar"/>
              </w:rPr>
              <w:t>、</w:t>
            </w:r>
            <w:r>
              <w:rPr>
                <w:rStyle w:val="26"/>
                <w:rFonts w:eastAsia="宋体"/>
                <w:lang w:val="en-US" w:eastAsia="zh-CN" w:bidi="ar"/>
              </w:rPr>
              <w:t>8</w:t>
            </w:r>
            <w:r>
              <w:rPr>
                <w:rStyle w:val="25"/>
                <w:lang w:val="en-US" w:eastAsia="zh-CN" w:bidi="ar"/>
              </w:rPr>
              <w:t>、</w:t>
            </w:r>
            <w:r>
              <w:rPr>
                <w:rStyle w:val="26"/>
                <w:rFonts w:eastAsia="宋体"/>
                <w:lang w:val="en-US" w:eastAsia="zh-CN" w:bidi="ar"/>
              </w:rPr>
              <w:t>9</w:t>
            </w:r>
            <w:r>
              <w:rPr>
                <w:rStyle w:val="25"/>
                <w:lang w:val="en-US" w:eastAsia="zh-CN" w:bidi="ar"/>
              </w:rPr>
              <w:t>项；新申请进入</w:t>
            </w:r>
            <w:r>
              <w:rPr>
                <w:rStyle w:val="26"/>
                <w:rFonts w:eastAsia="宋体"/>
                <w:lang w:val="en-US" w:eastAsia="zh-CN" w:bidi="ar"/>
              </w:rPr>
              <w:t>2025</w:t>
            </w:r>
            <w:r>
              <w:rPr>
                <w:rStyle w:val="25"/>
                <w:lang w:val="en-US" w:eastAsia="zh-CN" w:bidi="ar"/>
              </w:rPr>
              <w:t>年清单的企业，</w:t>
            </w:r>
            <w:r>
              <w:rPr>
                <w:rStyle w:val="26"/>
                <w:rFonts w:eastAsia="宋体"/>
                <w:lang w:val="en-US" w:eastAsia="zh-CN" w:bidi="ar"/>
              </w:rPr>
              <w:t>1-9</w:t>
            </w:r>
            <w:r>
              <w:rPr>
                <w:rStyle w:val="25"/>
                <w:lang w:val="en-US" w:eastAsia="zh-CN" w:bidi="ar"/>
              </w:rPr>
              <w:t>项为必选项。</w:t>
            </w:r>
          </w:p>
        </w:tc>
      </w:tr>
    </w:tbl>
    <w:p w14:paraId="321E7CD7">
      <w:pPr>
        <w:widowControl/>
        <w:spacing w:line="590" w:lineRule="exact"/>
        <w:ind w:firstLine="0" w:firstLineChars="0"/>
        <w:jc w:val="left"/>
        <w:rPr>
          <w:rFonts w:ascii="Times New Roman" w:hAnsi="Times New Roman" w:eastAsia="方正仿宋_GBK"/>
          <w:kern w:val="0"/>
          <w:sz w:val="32"/>
          <w:szCs w:val="32"/>
        </w:rPr>
      </w:pPr>
    </w:p>
    <w:sectPr>
      <w:pgSz w:w="16838" w:h="11906" w:orient="landscape"/>
      <w:pgMar w:top="1531" w:right="1814" w:bottom="1531" w:left="1985"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汉仪中宋简">
    <w:panose1 w:val="02010600000101010101"/>
    <w:charset w:val="80"/>
    <w:family w:val="auto"/>
    <w:pitch w:val="default"/>
    <w:sig w:usb0="800002BF" w:usb1="184F6CF8" w:usb2="00000012" w:usb3="00000000" w:csb0="00020001" w:csb1="00000000"/>
  </w:font>
  <w:font w:name="汉仪典雅体简">
    <w:panose1 w:val="00020600040101010101"/>
    <w:charset w:val="86"/>
    <w:family w:val="auto"/>
    <w:pitch w:val="default"/>
    <w:sig w:usb0="A00002BF" w:usb1="18EF7CFA" w:usb2="00000016"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5D90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23A88">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059B1">
    <w:pPr>
      <w:ind w:left="4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24466">
    <w:pPr>
      <w:ind w:left="42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1C90">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2FE"/>
    <w:rsid w:val="00005280"/>
    <w:rsid w:val="00010735"/>
    <w:rsid w:val="00012331"/>
    <w:rsid w:val="000173AA"/>
    <w:rsid w:val="00040E4E"/>
    <w:rsid w:val="000426CE"/>
    <w:rsid w:val="00060E52"/>
    <w:rsid w:val="00077D7A"/>
    <w:rsid w:val="00080CDF"/>
    <w:rsid w:val="00090B2F"/>
    <w:rsid w:val="000912C5"/>
    <w:rsid w:val="000A7FD1"/>
    <w:rsid w:val="000B3B02"/>
    <w:rsid w:val="000D6480"/>
    <w:rsid w:val="000E64F7"/>
    <w:rsid w:val="00103F37"/>
    <w:rsid w:val="00113638"/>
    <w:rsid w:val="001146F0"/>
    <w:rsid w:val="001322EB"/>
    <w:rsid w:val="00136C1C"/>
    <w:rsid w:val="00143C0A"/>
    <w:rsid w:val="00181C2B"/>
    <w:rsid w:val="00182F1F"/>
    <w:rsid w:val="001B0EE6"/>
    <w:rsid w:val="001B59F4"/>
    <w:rsid w:val="001C0889"/>
    <w:rsid w:val="001C0C5F"/>
    <w:rsid w:val="001E04C2"/>
    <w:rsid w:val="001E6613"/>
    <w:rsid w:val="002079F4"/>
    <w:rsid w:val="00227E31"/>
    <w:rsid w:val="0023189F"/>
    <w:rsid w:val="00234179"/>
    <w:rsid w:val="002363F7"/>
    <w:rsid w:val="00242222"/>
    <w:rsid w:val="00254F36"/>
    <w:rsid w:val="002637CB"/>
    <w:rsid w:val="00264A20"/>
    <w:rsid w:val="002720D0"/>
    <w:rsid w:val="002833B0"/>
    <w:rsid w:val="00295F27"/>
    <w:rsid w:val="002A18AF"/>
    <w:rsid w:val="002A58AF"/>
    <w:rsid w:val="002D67EB"/>
    <w:rsid w:val="002E2A5A"/>
    <w:rsid w:val="002E407E"/>
    <w:rsid w:val="00311146"/>
    <w:rsid w:val="003150C1"/>
    <w:rsid w:val="00315135"/>
    <w:rsid w:val="00346DDB"/>
    <w:rsid w:val="0036746D"/>
    <w:rsid w:val="00374382"/>
    <w:rsid w:val="003B1A8D"/>
    <w:rsid w:val="003C101D"/>
    <w:rsid w:val="003C63E2"/>
    <w:rsid w:val="003C6DB4"/>
    <w:rsid w:val="003C7EFD"/>
    <w:rsid w:val="003D0CE6"/>
    <w:rsid w:val="003F5588"/>
    <w:rsid w:val="004044D5"/>
    <w:rsid w:val="00404BEF"/>
    <w:rsid w:val="00431BBF"/>
    <w:rsid w:val="00434AD8"/>
    <w:rsid w:val="00441950"/>
    <w:rsid w:val="00452625"/>
    <w:rsid w:val="00463642"/>
    <w:rsid w:val="00463900"/>
    <w:rsid w:val="00466657"/>
    <w:rsid w:val="004733A7"/>
    <w:rsid w:val="00490F74"/>
    <w:rsid w:val="004A36B1"/>
    <w:rsid w:val="004A37C0"/>
    <w:rsid w:val="004A38BA"/>
    <w:rsid w:val="004B033A"/>
    <w:rsid w:val="004D54F8"/>
    <w:rsid w:val="004D6E5C"/>
    <w:rsid w:val="004F4E7F"/>
    <w:rsid w:val="005038A2"/>
    <w:rsid w:val="005168BC"/>
    <w:rsid w:val="005202FE"/>
    <w:rsid w:val="0052505C"/>
    <w:rsid w:val="005368B9"/>
    <w:rsid w:val="005442D7"/>
    <w:rsid w:val="005514E6"/>
    <w:rsid w:val="005820A9"/>
    <w:rsid w:val="00585334"/>
    <w:rsid w:val="00592908"/>
    <w:rsid w:val="005A1B17"/>
    <w:rsid w:val="005A1DB3"/>
    <w:rsid w:val="005B3A19"/>
    <w:rsid w:val="005E56E1"/>
    <w:rsid w:val="00610E15"/>
    <w:rsid w:val="006122E8"/>
    <w:rsid w:val="00634C45"/>
    <w:rsid w:val="00642028"/>
    <w:rsid w:val="00642222"/>
    <w:rsid w:val="00672068"/>
    <w:rsid w:val="00680F20"/>
    <w:rsid w:val="00690BBC"/>
    <w:rsid w:val="006A3C77"/>
    <w:rsid w:val="006C20CC"/>
    <w:rsid w:val="006C4987"/>
    <w:rsid w:val="006E0840"/>
    <w:rsid w:val="006E1962"/>
    <w:rsid w:val="006E2EB9"/>
    <w:rsid w:val="006E5F66"/>
    <w:rsid w:val="006E7258"/>
    <w:rsid w:val="006F18DB"/>
    <w:rsid w:val="006F641A"/>
    <w:rsid w:val="00702871"/>
    <w:rsid w:val="00721373"/>
    <w:rsid w:val="00753E30"/>
    <w:rsid w:val="00754DC1"/>
    <w:rsid w:val="00755431"/>
    <w:rsid w:val="00781F41"/>
    <w:rsid w:val="007A46A9"/>
    <w:rsid w:val="007A49F5"/>
    <w:rsid w:val="007B56F0"/>
    <w:rsid w:val="007C00CE"/>
    <w:rsid w:val="007C3239"/>
    <w:rsid w:val="007C487D"/>
    <w:rsid w:val="007D19DE"/>
    <w:rsid w:val="007D3A02"/>
    <w:rsid w:val="007E3163"/>
    <w:rsid w:val="008029AB"/>
    <w:rsid w:val="00802EF2"/>
    <w:rsid w:val="0081298E"/>
    <w:rsid w:val="008174EE"/>
    <w:rsid w:val="0082654A"/>
    <w:rsid w:val="00831561"/>
    <w:rsid w:val="00840106"/>
    <w:rsid w:val="008568D7"/>
    <w:rsid w:val="00864CCD"/>
    <w:rsid w:val="00866093"/>
    <w:rsid w:val="008662B4"/>
    <w:rsid w:val="00880634"/>
    <w:rsid w:val="0089741A"/>
    <w:rsid w:val="00897AFE"/>
    <w:rsid w:val="008A4FE7"/>
    <w:rsid w:val="008B039C"/>
    <w:rsid w:val="008C6DBB"/>
    <w:rsid w:val="008D05B8"/>
    <w:rsid w:val="008D6908"/>
    <w:rsid w:val="008E2882"/>
    <w:rsid w:val="00901849"/>
    <w:rsid w:val="009148C7"/>
    <w:rsid w:val="00914EB3"/>
    <w:rsid w:val="00915134"/>
    <w:rsid w:val="009446F5"/>
    <w:rsid w:val="00964813"/>
    <w:rsid w:val="00972353"/>
    <w:rsid w:val="00985BA2"/>
    <w:rsid w:val="00990B96"/>
    <w:rsid w:val="0099430C"/>
    <w:rsid w:val="009A0BC1"/>
    <w:rsid w:val="009A6568"/>
    <w:rsid w:val="009A6D1D"/>
    <w:rsid w:val="009C4934"/>
    <w:rsid w:val="009C6669"/>
    <w:rsid w:val="009E3A16"/>
    <w:rsid w:val="00A25E56"/>
    <w:rsid w:val="00A3440E"/>
    <w:rsid w:val="00A449E1"/>
    <w:rsid w:val="00A54BFA"/>
    <w:rsid w:val="00A60801"/>
    <w:rsid w:val="00A632E9"/>
    <w:rsid w:val="00A63574"/>
    <w:rsid w:val="00A6704A"/>
    <w:rsid w:val="00A83812"/>
    <w:rsid w:val="00A918EC"/>
    <w:rsid w:val="00AA10CF"/>
    <w:rsid w:val="00AD456E"/>
    <w:rsid w:val="00AF5BA2"/>
    <w:rsid w:val="00B05A60"/>
    <w:rsid w:val="00B10FEB"/>
    <w:rsid w:val="00B16B48"/>
    <w:rsid w:val="00B172DC"/>
    <w:rsid w:val="00B2181E"/>
    <w:rsid w:val="00B33860"/>
    <w:rsid w:val="00B3683D"/>
    <w:rsid w:val="00B52EBA"/>
    <w:rsid w:val="00B57AAA"/>
    <w:rsid w:val="00B6196E"/>
    <w:rsid w:val="00B81BA5"/>
    <w:rsid w:val="00BA49B7"/>
    <w:rsid w:val="00BA761E"/>
    <w:rsid w:val="00BB32AC"/>
    <w:rsid w:val="00BB5B57"/>
    <w:rsid w:val="00BB7005"/>
    <w:rsid w:val="00BC3C06"/>
    <w:rsid w:val="00BC44F0"/>
    <w:rsid w:val="00BC7D95"/>
    <w:rsid w:val="00BE45BF"/>
    <w:rsid w:val="00BE6F78"/>
    <w:rsid w:val="00BF7737"/>
    <w:rsid w:val="00C031AA"/>
    <w:rsid w:val="00C352FC"/>
    <w:rsid w:val="00C4646A"/>
    <w:rsid w:val="00C65B6E"/>
    <w:rsid w:val="00C67872"/>
    <w:rsid w:val="00C76985"/>
    <w:rsid w:val="00C8635E"/>
    <w:rsid w:val="00C95B29"/>
    <w:rsid w:val="00CA66D6"/>
    <w:rsid w:val="00CB6731"/>
    <w:rsid w:val="00CB7A8B"/>
    <w:rsid w:val="00CC220E"/>
    <w:rsid w:val="00CC4F62"/>
    <w:rsid w:val="00CD0447"/>
    <w:rsid w:val="00CD0FA1"/>
    <w:rsid w:val="00CD2DD5"/>
    <w:rsid w:val="00CE72D2"/>
    <w:rsid w:val="00CF076C"/>
    <w:rsid w:val="00CF12F5"/>
    <w:rsid w:val="00CF2F8C"/>
    <w:rsid w:val="00CF3D65"/>
    <w:rsid w:val="00D14BDA"/>
    <w:rsid w:val="00D3180D"/>
    <w:rsid w:val="00D54B2E"/>
    <w:rsid w:val="00DA2245"/>
    <w:rsid w:val="00DA49AE"/>
    <w:rsid w:val="00DC1E99"/>
    <w:rsid w:val="00DC3337"/>
    <w:rsid w:val="00DC7FCA"/>
    <w:rsid w:val="00DD6F26"/>
    <w:rsid w:val="00E031CF"/>
    <w:rsid w:val="00E061E3"/>
    <w:rsid w:val="00E32510"/>
    <w:rsid w:val="00E3419C"/>
    <w:rsid w:val="00E41C7A"/>
    <w:rsid w:val="00E62E88"/>
    <w:rsid w:val="00E63646"/>
    <w:rsid w:val="00E95EB0"/>
    <w:rsid w:val="00E96859"/>
    <w:rsid w:val="00EB180B"/>
    <w:rsid w:val="00EC0A55"/>
    <w:rsid w:val="00EC4532"/>
    <w:rsid w:val="00ED0F06"/>
    <w:rsid w:val="00ED21D0"/>
    <w:rsid w:val="00ED6865"/>
    <w:rsid w:val="00EE2A0B"/>
    <w:rsid w:val="00EF18C5"/>
    <w:rsid w:val="00F05C29"/>
    <w:rsid w:val="00F2335F"/>
    <w:rsid w:val="00F37FA1"/>
    <w:rsid w:val="00F445D1"/>
    <w:rsid w:val="00F51280"/>
    <w:rsid w:val="00F91E61"/>
    <w:rsid w:val="00FA0B68"/>
    <w:rsid w:val="00FA426C"/>
    <w:rsid w:val="00FB1FC2"/>
    <w:rsid w:val="00FB353A"/>
    <w:rsid w:val="00FC1946"/>
    <w:rsid w:val="00FC237D"/>
    <w:rsid w:val="00FC50BF"/>
    <w:rsid w:val="00FE29C1"/>
    <w:rsid w:val="00FE6C77"/>
    <w:rsid w:val="00FF2FC2"/>
    <w:rsid w:val="043922DA"/>
    <w:rsid w:val="183C60CE"/>
    <w:rsid w:val="3D2575D6"/>
    <w:rsid w:val="4BF722AF"/>
    <w:rsid w:val="4EAF2952"/>
    <w:rsid w:val="5AFF5A5E"/>
    <w:rsid w:val="652E7D96"/>
    <w:rsid w:val="74DF5308"/>
    <w:rsid w:val="7ED7B454"/>
    <w:rsid w:val="EDF7BFB3"/>
    <w:rsid w:val="FFDFA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paragraph" w:styleId="2">
    <w:name w:val="heading 1"/>
    <w:basedOn w:val="1"/>
    <w:next w:val="1"/>
    <w:link w:val="12"/>
    <w:qFormat/>
    <w:uiPriority w:val="9"/>
    <w:pPr>
      <w:spacing w:beforeAutospacing="1" w:afterAutospacing="1" w:line="240" w:lineRule="auto"/>
      <w:ind w:firstLine="0" w:firstLineChars="0"/>
      <w:jc w:val="left"/>
      <w:outlineLvl w:val="0"/>
    </w:pPr>
    <w:rPr>
      <w:rFonts w:ascii="宋体" w:hAnsi="宋体"/>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0"/>
    <w:pPr>
      <w:spacing w:after="120" w:line="240" w:lineRule="auto"/>
      <w:ind w:firstLine="0" w:firstLineChars="0"/>
    </w:pPr>
    <w:rPr>
      <w:rFonts w:ascii="Calibri" w:hAnsi="Calibri"/>
    </w:rPr>
  </w:style>
  <w:style w:type="paragraph" w:styleId="4">
    <w:name w:val="Balloon Text"/>
    <w:basedOn w:val="1"/>
    <w:semiHidden/>
    <w:qFormat/>
    <w:uiPriority w:val="0"/>
    <w:rPr>
      <w:sz w:val="18"/>
      <w:szCs w:val="18"/>
    </w:rPr>
  </w:style>
  <w:style w:type="paragraph" w:styleId="5">
    <w:name w:val="footer"/>
    <w:basedOn w:val="1"/>
    <w:link w:val="13"/>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unhideWhenUsed/>
    <w:qFormat/>
    <w:uiPriority w:val="99"/>
    <w:pPr>
      <w:spacing w:beforeAutospacing="1" w:afterAutospacing="1" w:line="240" w:lineRule="auto"/>
      <w:ind w:firstLine="0" w:firstLineChars="0"/>
      <w:jc w:val="left"/>
    </w:pPr>
    <w:rPr>
      <w:rFonts w:ascii="Calibri" w:hAnsi="Calibri"/>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link w:val="6"/>
    <w:uiPriority w:val="99"/>
    <w:rPr>
      <w:rFonts w:ascii="Arial" w:hAnsi="Arial" w:eastAsia="宋体"/>
      <w:kern w:val="2"/>
      <w:sz w:val="18"/>
      <w:szCs w:val="18"/>
      <w:lang w:val="en-US" w:eastAsia="zh-CN" w:bidi="ar-SA"/>
    </w:rPr>
  </w:style>
  <w:style w:type="character" w:customStyle="1" w:styleId="12">
    <w:name w:val="标题 1 Char"/>
    <w:link w:val="2"/>
    <w:qFormat/>
    <w:uiPriority w:val="9"/>
    <w:rPr>
      <w:rFonts w:ascii="宋体" w:hAnsi="宋体"/>
      <w:b/>
      <w:kern w:val="44"/>
      <w:sz w:val="48"/>
      <w:szCs w:val="48"/>
    </w:rPr>
  </w:style>
  <w:style w:type="character" w:customStyle="1" w:styleId="13">
    <w:name w:val="页脚 Char"/>
    <w:link w:val="5"/>
    <w:qFormat/>
    <w:uiPriority w:val="99"/>
    <w:rPr>
      <w:rFonts w:eastAsia="仿宋_GB2312"/>
      <w:kern w:val="2"/>
      <w:sz w:val="18"/>
      <w:szCs w:val="18"/>
    </w:rPr>
  </w:style>
  <w:style w:type="character" w:customStyle="1" w:styleId="14">
    <w:name w:val="正文文本 Char"/>
    <w:basedOn w:val="10"/>
    <w:link w:val="3"/>
    <w:qFormat/>
    <w:uiPriority w:val="0"/>
    <w:rPr>
      <w:rFonts w:ascii="Calibri" w:hAnsi="Calibri"/>
      <w:kern w:val="2"/>
      <w:sz w:val="21"/>
      <w:szCs w:val="24"/>
    </w:rPr>
  </w:style>
  <w:style w:type="character" w:customStyle="1" w:styleId="15">
    <w:name w:val="font31"/>
    <w:basedOn w:val="10"/>
    <w:uiPriority w:val="0"/>
    <w:rPr>
      <w:rFonts w:hint="eastAsia" w:ascii="方正黑体_GBK" w:hAnsi="方正黑体_GBK" w:eastAsia="方正黑体_GBK" w:cs="方正黑体_GBK"/>
      <w:color w:val="000000"/>
      <w:sz w:val="32"/>
      <w:szCs w:val="32"/>
      <w:u w:val="none"/>
    </w:rPr>
  </w:style>
  <w:style w:type="character" w:customStyle="1" w:styleId="16">
    <w:name w:val="font141"/>
    <w:basedOn w:val="10"/>
    <w:uiPriority w:val="0"/>
    <w:rPr>
      <w:rFonts w:hint="default" w:ascii="Times New Roman" w:hAnsi="Times New Roman" w:cs="Times New Roman"/>
      <w:color w:val="000000"/>
      <w:sz w:val="32"/>
      <w:szCs w:val="32"/>
      <w:u w:val="none"/>
    </w:rPr>
  </w:style>
  <w:style w:type="character" w:customStyle="1" w:styleId="17">
    <w:name w:val="font71"/>
    <w:basedOn w:val="10"/>
    <w:uiPriority w:val="0"/>
    <w:rPr>
      <w:rFonts w:ascii="黑体" w:hAnsi="宋体" w:eastAsia="黑体" w:cs="黑体"/>
      <w:color w:val="000000"/>
      <w:sz w:val="24"/>
      <w:szCs w:val="24"/>
      <w:u w:val="none"/>
    </w:rPr>
  </w:style>
  <w:style w:type="character" w:customStyle="1" w:styleId="18">
    <w:name w:val="font61"/>
    <w:basedOn w:val="10"/>
    <w:uiPriority w:val="0"/>
    <w:rPr>
      <w:rFonts w:hint="default" w:ascii="Times New Roman" w:hAnsi="Times New Roman" w:cs="Times New Roman"/>
      <w:color w:val="000000"/>
      <w:sz w:val="24"/>
      <w:szCs w:val="24"/>
      <w:u w:val="none"/>
    </w:rPr>
  </w:style>
  <w:style w:type="character" w:customStyle="1" w:styleId="19">
    <w:name w:val="font81"/>
    <w:basedOn w:val="10"/>
    <w:uiPriority w:val="0"/>
    <w:rPr>
      <w:rFonts w:hint="eastAsia" w:ascii="方正黑体_GBK" w:hAnsi="方正黑体_GBK" w:eastAsia="方正黑体_GBK" w:cs="方正黑体_GBK"/>
      <w:color w:val="000000"/>
      <w:sz w:val="24"/>
      <w:szCs w:val="24"/>
      <w:u w:val="none"/>
    </w:rPr>
  </w:style>
  <w:style w:type="character" w:customStyle="1" w:styleId="20">
    <w:name w:val="font151"/>
    <w:basedOn w:val="10"/>
    <w:uiPriority w:val="0"/>
    <w:rPr>
      <w:rFonts w:hint="eastAsia" w:ascii="方正仿宋_GBK" w:hAnsi="方正仿宋_GBK" w:eastAsia="方正仿宋_GBK" w:cs="方正仿宋_GBK"/>
      <w:color w:val="000000"/>
      <w:sz w:val="22"/>
      <w:szCs w:val="22"/>
      <w:u w:val="none"/>
    </w:rPr>
  </w:style>
  <w:style w:type="character" w:customStyle="1" w:styleId="21">
    <w:name w:val="font91"/>
    <w:basedOn w:val="10"/>
    <w:uiPriority w:val="0"/>
    <w:rPr>
      <w:rFonts w:hint="default" w:ascii="Times New Roman" w:hAnsi="Times New Roman" w:cs="Times New Roman"/>
      <w:color w:val="000000"/>
      <w:sz w:val="22"/>
      <w:szCs w:val="22"/>
      <w:u w:val="none"/>
    </w:rPr>
  </w:style>
  <w:style w:type="character" w:customStyle="1" w:styleId="22">
    <w:name w:val="font101"/>
    <w:basedOn w:val="10"/>
    <w:uiPriority w:val="0"/>
    <w:rPr>
      <w:rFonts w:hint="eastAsia" w:ascii="方正仿宋_GBK" w:hAnsi="方正仿宋_GBK" w:eastAsia="方正仿宋_GBK" w:cs="方正仿宋_GBK"/>
      <w:color w:val="000000"/>
      <w:sz w:val="24"/>
      <w:szCs w:val="24"/>
      <w:u w:val="none"/>
    </w:rPr>
  </w:style>
  <w:style w:type="character" w:customStyle="1" w:styleId="23">
    <w:name w:val="font161"/>
    <w:basedOn w:val="10"/>
    <w:uiPriority w:val="0"/>
    <w:rPr>
      <w:rFonts w:hint="eastAsia" w:ascii="方正仿宋_GBK" w:hAnsi="方正仿宋_GBK" w:eastAsia="方正仿宋_GBK" w:cs="方正仿宋_GBK"/>
      <w:color w:val="000000"/>
      <w:sz w:val="24"/>
      <w:szCs w:val="24"/>
      <w:u w:val="none"/>
    </w:rPr>
  </w:style>
  <w:style w:type="character" w:customStyle="1" w:styleId="24">
    <w:name w:val="font171"/>
    <w:basedOn w:val="10"/>
    <w:uiPriority w:val="0"/>
    <w:rPr>
      <w:rFonts w:hint="eastAsia" w:ascii="宋体" w:hAnsi="宋体" w:eastAsia="宋体" w:cs="宋体"/>
      <w:color w:val="000000"/>
      <w:sz w:val="24"/>
      <w:szCs w:val="24"/>
      <w:u w:val="none"/>
    </w:rPr>
  </w:style>
  <w:style w:type="character" w:customStyle="1" w:styleId="25">
    <w:name w:val="font121"/>
    <w:basedOn w:val="10"/>
    <w:uiPriority w:val="0"/>
    <w:rPr>
      <w:rFonts w:hint="eastAsia" w:ascii="宋体" w:hAnsi="宋体" w:eastAsia="宋体" w:cs="宋体"/>
      <w:color w:val="000000"/>
      <w:sz w:val="24"/>
      <w:szCs w:val="24"/>
      <w:u w:val="none"/>
    </w:rPr>
  </w:style>
  <w:style w:type="character" w:customStyle="1" w:styleId="26">
    <w:name w:val="font131"/>
    <w:basedOn w:val="10"/>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9</Pages>
  <Words>2670</Words>
  <Characters>3026</Characters>
  <Lines>8</Lines>
  <Paragraphs>2</Paragraphs>
  <TotalTime>1103</TotalTime>
  <ScaleCrop>false</ScaleCrop>
  <LinksUpToDate>false</LinksUpToDate>
  <CharactersWithSpaces>3187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2025-03-18T10:39:00Z</dcterms:created>
  <dc:creator>孙桂林</dc:creator>
  <cp:lastModifiedBy>王申</cp:lastModifiedBy>
  <cp:lastPrinted>2023-09-28T01:20:00Z</cp:lastPrinted>
  <dcterms:modified xsi:type="dcterms:W3CDTF">2026-09-15T02:11:55Z</dcterms:modified>
  <dc:title>苏经信减负〔2017〕883号              签发人：</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eyJoZGlkIjoiNTMwMjg3Y2ViODRmYzZhNWY3NmNlMzI1YmMyM2RmN2UiLCJ1c2VySWQiOiI1Njc5MDc5MzgifQ==</vt:lpwstr>
  </property>
  <property fmtid="{D5CDD505-2E9C-101B-9397-08002B2CF9AE}" pid="4" name="ICV">
    <vt:lpwstr>3C8C83F4F2194FD7B534BB431910F32E_13</vt:lpwstr>
  </property>
</Properties>
</file>